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bookmarkStart w:id="0" w:name="_Toc32163513"/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ascii="Times New Roman" w:hAnsi="Times New Roman" w:eastAsia="方正小标宋简体" w:cs="Times New Roman"/>
          <w:color w:val="000000"/>
          <w:sz w:val="44"/>
          <w:szCs w:val="44"/>
        </w:rPr>
      </w:pPr>
      <w:bookmarkStart w:id="1" w:name="_GoBack"/>
      <w:r>
        <w:rPr>
          <w:rFonts w:ascii="Times New Roman" w:hAnsi="Times New Roman" w:eastAsia="方正小标宋简体" w:cs="Times New Roman"/>
          <w:color w:val="000000"/>
          <w:kern w:val="2"/>
          <w:sz w:val="44"/>
          <w:szCs w:val="44"/>
        </w:rPr>
        <w:t>送达方式及</w:t>
      </w:r>
      <w:r>
        <w:rPr>
          <w:rFonts w:hint="eastAsia" w:ascii="Times New Roman" w:hAnsi="Times New Roman" w:eastAsia="方正小标宋简体" w:cs="Times New Roman"/>
          <w:color w:val="000000"/>
          <w:kern w:val="2"/>
          <w:sz w:val="44"/>
          <w:szCs w:val="44"/>
          <w:lang w:eastAsia="zh-CN"/>
        </w:rPr>
        <w:t>送达</w:t>
      </w:r>
      <w:r>
        <w:rPr>
          <w:rFonts w:ascii="Times New Roman" w:hAnsi="Times New Roman" w:eastAsia="方正小标宋简体" w:cs="Times New Roman"/>
          <w:color w:val="000000"/>
          <w:kern w:val="2"/>
          <w:sz w:val="44"/>
          <w:szCs w:val="44"/>
        </w:rPr>
        <w:t>地址</w:t>
      </w:r>
      <w:r>
        <w:rPr>
          <w:rFonts w:ascii="Times New Roman" w:hAnsi="Times New Roman" w:eastAsia="方正小标宋简体" w:cs="Times New Roman"/>
          <w:bCs/>
          <w:sz w:val="44"/>
          <w:szCs w:val="44"/>
        </w:rPr>
        <w:t>确认</w:t>
      </w:r>
      <w:r>
        <w:rPr>
          <w:rFonts w:ascii="Times New Roman" w:hAnsi="Times New Roman" w:eastAsia="方正小标宋简体" w:cs="Times New Roman"/>
          <w:color w:val="000000"/>
          <w:kern w:val="2"/>
          <w:sz w:val="44"/>
          <w:szCs w:val="44"/>
        </w:rPr>
        <w:t>书</w:t>
      </w:r>
      <w:bookmarkEnd w:id="0"/>
    </w:p>
    <w:bookmarkEnd w:id="1"/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3119"/>
        <w:gridCol w:w="1362"/>
        <w:gridCol w:w="2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84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2"/>
                <w:sz w:val="28"/>
                <w:szCs w:val="28"/>
              </w:rPr>
              <w:t>案由</w:t>
            </w:r>
          </w:p>
        </w:tc>
        <w:tc>
          <w:tcPr>
            <w:tcW w:w="3119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136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  <w:t>立案号</w:t>
            </w:r>
          </w:p>
        </w:tc>
        <w:tc>
          <w:tcPr>
            <w:tcW w:w="2890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700" w:firstLineChars="250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both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  <w:t>当事人填写送达地址确认书的告知事项</w:t>
            </w:r>
          </w:p>
        </w:tc>
        <w:tc>
          <w:tcPr>
            <w:tcW w:w="7371" w:type="dxa"/>
            <w:gridSpan w:val="3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根据相关法律规定，参照人民法院民事法律文书送达的相关规定，告知如下：</w:t>
            </w:r>
          </w:p>
          <w:p>
            <w:pPr>
              <w:widowControl w:val="0"/>
              <w:overflowPunct w:val="0"/>
              <w:snapToGrid w:val="0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一、受送达人应当向本机关提供准确的送达地址，并填写送达地址确认书。当事人委托诉讼代理人的，诉讼代理人确认的送达地址视为当事人的送达地址。</w:t>
            </w:r>
          </w:p>
          <w:p>
            <w:pPr>
              <w:widowControl w:val="0"/>
              <w:overflowPunct w:val="0"/>
              <w:snapToGrid w:val="0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二、受送达人可自愿选择是否同意适用微信、QQ、电子邮件、传真等电子送达方式。</w:t>
            </w:r>
          </w:p>
          <w:p>
            <w:pPr>
              <w:widowControl w:val="0"/>
              <w:overflowPunct w:val="0"/>
              <w:snapToGrid w:val="0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三、当事人变更送达地址的，应及时告知本机关。当事人未及时告知的，以其确认的地址为送达地址。</w:t>
            </w: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四、因受送达人拒不提供送达地址、提供虚假地址或者提供送达地址不准确、送达地址变更未及时告知本机关、受送达人拒绝签收，导致诉讼文书未能被受送达人实际接收，直接送达的，诉讼文书留在该地址之日为送达之日；邮寄送达的，诉讼文书被退回之日为送达之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8" w:hRule="exact"/>
        </w:trPr>
        <w:tc>
          <w:tcPr>
            <w:tcW w:w="1384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  <w:t>当事人提供自己的送达地址</w:t>
            </w:r>
          </w:p>
        </w:tc>
        <w:tc>
          <w:tcPr>
            <w:tcW w:w="7371" w:type="dxa"/>
            <w:gridSpan w:val="3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hint="default" w:ascii="MathJax_AMS" w:hAnsi="MathJax_AMS" w:eastAsia="仿宋_GB2312" w:cs="MathJax_AMS"/>
                <w:color w:val="000000"/>
                <w:sz w:val="24"/>
                <w:szCs w:val="24"/>
              </w:rPr>
            </w:pPr>
            <w:r>
              <w:rPr>
                <w:rFonts w:hint="default" w:ascii="MathJax_AMS" w:hAnsi="MathJax_AMS" w:eastAsia="仿宋_GB2312" w:cs="MathJax_AMS"/>
                <w:color w:val="000000"/>
                <w:kern w:val="2"/>
                <w:sz w:val="24"/>
                <w:szCs w:val="24"/>
              </w:rPr>
              <w:t>1．本人确认下列地址为送达地址：</w:t>
            </w:r>
          </w:p>
          <w:p>
            <w:pPr>
              <w:widowControl w:val="0"/>
              <w:overflowPunct w:val="0"/>
              <w:snapToGrid w:val="0"/>
              <w:rPr>
                <w:rFonts w:hint="default" w:ascii="MathJax_AMS" w:hAnsi="MathJax_AMS" w:eastAsia="仿宋_GB2312" w:cs="MathJax_AMS"/>
                <w:color w:val="000000"/>
                <w:sz w:val="24"/>
                <w:szCs w:val="24"/>
              </w:rPr>
            </w:pPr>
            <w:r>
              <w:rPr>
                <w:rFonts w:hint="default" w:ascii="MathJax_AMS" w:hAnsi="MathJax_AMS" w:eastAsia="仿宋_GB2312" w:cs="MathJax_AMS"/>
                <w:color w:val="000000"/>
                <w:kern w:val="2"/>
                <w:sz w:val="24"/>
                <w:szCs w:val="24"/>
              </w:rPr>
              <w:t>地址：                         邮编：</w:t>
            </w:r>
          </w:p>
          <w:p>
            <w:pPr>
              <w:widowControl w:val="0"/>
              <w:overflowPunct w:val="0"/>
              <w:snapToGrid w:val="0"/>
              <w:rPr>
                <w:rFonts w:hint="default" w:ascii="MathJax_AMS" w:hAnsi="MathJax_AMS" w:eastAsia="仿宋_GB2312" w:cs="MathJax_AMS"/>
                <w:color w:val="000000"/>
                <w:sz w:val="24"/>
                <w:szCs w:val="24"/>
              </w:rPr>
            </w:pPr>
            <w:r>
              <w:rPr>
                <w:rFonts w:hint="default" w:ascii="MathJax_AMS" w:hAnsi="MathJax_AMS" w:eastAsia="仿宋_GB2312" w:cs="MathJax_AMS"/>
                <w:color w:val="000000"/>
                <w:kern w:val="2"/>
                <w:sz w:val="24"/>
                <w:szCs w:val="24"/>
              </w:rPr>
              <w:t>收件人：                       电话：</w:t>
            </w:r>
          </w:p>
          <w:p>
            <w:pPr>
              <w:widowControl w:val="0"/>
              <w:overflowPunct w:val="0"/>
              <w:snapToGrid w:val="0"/>
              <w:rPr>
                <w:rFonts w:hint="default" w:ascii="MathJax_AMS" w:hAnsi="MathJax_AMS" w:eastAsia="仿宋_GB2312" w:cs="MathJax_AMS"/>
                <w:color w:val="000000"/>
                <w:sz w:val="24"/>
                <w:szCs w:val="24"/>
              </w:rPr>
            </w:pPr>
            <w:r>
              <w:rPr>
                <w:rFonts w:hint="default" w:ascii="MathJax_AMS" w:hAnsi="MathJax_AMS" w:eastAsia="仿宋_GB2312" w:cs="MathJax_AMS"/>
                <w:color w:val="000000"/>
                <w:kern w:val="2"/>
                <w:sz w:val="24"/>
                <w:szCs w:val="24"/>
              </w:rPr>
              <w:t>2．本人指定以下代收人地址为送达地址：</w:t>
            </w:r>
          </w:p>
          <w:p>
            <w:pPr>
              <w:widowControl w:val="0"/>
              <w:overflowPunct w:val="0"/>
              <w:snapToGrid w:val="0"/>
              <w:rPr>
                <w:rFonts w:hint="default" w:ascii="MathJax_AMS" w:hAnsi="MathJax_AMS" w:eastAsia="仿宋_GB2312" w:cs="MathJax_AMS"/>
                <w:color w:val="000000"/>
                <w:sz w:val="24"/>
                <w:szCs w:val="24"/>
              </w:rPr>
            </w:pPr>
            <w:r>
              <w:rPr>
                <w:rFonts w:hint="default" w:ascii="MathJax_AMS" w:hAnsi="MathJax_AMS" w:eastAsia="仿宋_GB2312" w:cs="MathJax_AMS"/>
                <w:color w:val="000000"/>
                <w:kern w:val="2"/>
                <w:sz w:val="24"/>
                <w:szCs w:val="24"/>
              </w:rPr>
              <w:t>代收人：                       与本人关系：</w:t>
            </w:r>
          </w:p>
          <w:p>
            <w:pPr>
              <w:widowControl w:val="0"/>
              <w:overflowPunct w:val="0"/>
              <w:snapToGrid w:val="0"/>
              <w:rPr>
                <w:rFonts w:hint="default" w:ascii="MathJax_AMS" w:hAnsi="MathJax_AMS" w:eastAsia="仿宋_GB2312" w:cs="MathJax_AMS"/>
                <w:color w:val="000000"/>
                <w:sz w:val="24"/>
                <w:szCs w:val="24"/>
              </w:rPr>
            </w:pPr>
            <w:r>
              <w:rPr>
                <w:rFonts w:hint="default" w:ascii="MathJax_AMS" w:hAnsi="MathJax_AMS" w:eastAsia="仿宋_GB2312" w:cs="MathJax_AMS"/>
                <w:color w:val="000000"/>
                <w:kern w:val="2"/>
                <w:sz w:val="24"/>
                <w:szCs w:val="24"/>
              </w:rPr>
              <w:t>地址：                         邮编：</w:t>
            </w:r>
          </w:p>
          <w:p>
            <w:pPr>
              <w:widowControl w:val="0"/>
              <w:overflowPunct w:val="0"/>
              <w:snapToGrid w:val="0"/>
              <w:rPr>
                <w:rFonts w:hint="default" w:ascii="MathJax_AMS" w:hAnsi="MathJax_AMS" w:eastAsia="仿宋_GB2312" w:cs="MathJax_AMS"/>
                <w:color w:val="000000"/>
                <w:sz w:val="24"/>
                <w:szCs w:val="24"/>
              </w:rPr>
            </w:pPr>
            <w:r>
              <w:rPr>
                <w:rFonts w:hint="default" w:ascii="MathJax_AMS" w:hAnsi="MathJax_AMS" w:eastAsia="仿宋_GB2312" w:cs="MathJax_AMS"/>
                <w:color w:val="000000"/>
                <w:kern w:val="2"/>
                <w:sz w:val="24"/>
                <w:szCs w:val="24"/>
              </w:rPr>
              <w:t>3．本人指定下列现代通讯方式送达：</w:t>
            </w:r>
          </w:p>
          <w:p>
            <w:pPr>
              <w:widowControl w:val="0"/>
              <w:overflowPunct w:val="0"/>
              <w:snapToGrid w:val="0"/>
              <w:rPr>
                <w:rFonts w:hint="default" w:ascii="MathJax_AMS" w:hAnsi="MathJax_AMS" w:eastAsia="仿宋_GB2312" w:cs="MathJax_AMS"/>
                <w:color w:val="000000"/>
                <w:sz w:val="24"/>
                <w:szCs w:val="24"/>
              </w:rPr>
            </w:pPr>
            <w:r>
              <w:rPr>
                <w:rFonts w:hint="default" w:ascii="MathJax_AMS" w:hAnsi="MathJax_AMS" w:eastAsia="仿宋_GB2312" w:cs="MathJax_AMS"/>
                <w:color w:val="000000"/>
                <w:kern w:val="2"/>
                <w:sz w:val="24"/>
                <w:szCs w:val="24"/>
              </w:rPr>
              <w:t xml:space="preserve">（1）手机短信，接收号码：         </w:t>
            </w:r>
          </w:p>
          <w:p>
            <w:pPr>
              <w:widowControl w:val="0"/>
              <w:overflowPunct w:val="0"/>
              <w:snapToGrid w:val="0"/>
              <w:rPr>
                <w:rFonts w:hint="default" w:ascii="MathJax_AMS" w:hAnsi="MathJax_AMS" w:eastAsia="仿宋_GB2312" w:cs="MathJax_AMS"/>
                <w:color w:val="000000"/>
                <w:sz w:val="24"/>
                <w:szCs w:val="24"/>
              </w:rPr>
            </w:pPr>
            <w:r>
              <w:rPr>
                <w:rFonts w:hint="default" w:ascii="MathJax_AMS" w:hAnsi="MathJax_AMS" w:eastAsia="仿宋_GB2312" w:cs="MathJax_AMS"/>
                <w:color w:val="000000"/>
                <w:kern w:val="2"/>
                <w:sz w:val="24"/>
                <w:szCs w:val="24"/>
              </w:rPr>
              <w:t>（2）传真，接收号码：</w:t>
            </w:r>
          </w:p>
          <w:p>
            <w:pPr>
              <w:widowControl w:val="0"/>
              <w:overflowPunct w:val="0"/>
              <w:snapToGrid w:val="0"/>
              <w:rPr>
                <w:rFonts w:hint="default" w:ascii="MathJax_AMS" w:hAnsi="MathJax_AMS" w:eastAsia="仿宋_GB2312" w:cs="MathJax_AMS"/>
                <w:color w:val="000000"/>
                <w:sz w:val="24"/>
                <w:szCs w:val="24"/>
              </w:rPr>
            </w:pPr>
            <w:r>
              <w:rPr>
                <w:rFonts w:hint="default" w:ascii="MathJax_AMS" w:hAnsi="MathJax_AMS" w:eastAsia="仿宋_GB2312" w:cs="MathJax_AMS"/>
                <w:color w:val="000000"/>
                <w:kern w:val="2"/>
                <w:sz w:val="24"/>
                <w:szCs w:val="24"/>
              </w:rPr>
              <w:t xml:space="preserve">（3）电子邮件，邮箱地址：         </w:t>
            </w: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MathJax_AMS" w:hAnsi="MathJax_AMS" w:eastAsia="仿宋_GB2312" w:cs="MathJax_AMS"/>
                <w:color w:val="000000"/>
                <w:kern w:val="2"/>
                <w:sz w:val="24"/>
                <w:szCs w:val="24"/>
              </w:rPr>
              <w:t>（4）其他方式及码址：</w:t>
            </w:r>
            <w:r>
              <w:rPr>
                <w:rFonts w:hint="default" w:ascii="MathJax_AMS" w:hAnsi="MathJax_AMS" w:eastAsia="仿宋_GB2312" w:cs="MathJax_AMS"/>
                <w:color w:val="000000"/>
                <w:kern w:val="2"/>
                <w:sz w:val="24"/>
                <w:szCs w:val="24"/>
              </w:rPr>
              <w:br w:type="textWrapping"/>
            </w:r>
            <w:r>
              <w:rPr>
                <w:rFonts w:hint="default" w:ascii="MathJax_AMS" w:hAnsi="MathJax_AMS" w:eastAsia="仿宋_GB2312" w:cs="MathJax_AMS"/>
                <w:color w:val="000000"/>
                <w:kern w:val="2"/>
                <w:sz w:val="24"/>
                <w:szCs w:val="24"/>
              </w:rPr>
              <w:t>4．其他联系方式：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</w:trPr>
        <w:tc>
          <w:tcPr>
            <w:tcW w:w="1384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both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  <w:t>当事人对自己送达地址的确认</w:t>
            </w:r>
          </w:p>
        </w:tc>
        <w:tc>
          <w:tcPr>
            <w:tcW w:w="7371" w:type="dxa"/>
            <w:gridSpan w:val="3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480" w:firstLineChars="200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  <w:t>我已经阅读（听明白）上述告知事项，并保证上述送达地址是准确、有效的。</w:t>
            </w: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overflowPunct w:val="0"/>
              <w:snapToGrid w:val="0"/>
              <w:ind w:firstLine="480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  <w:t xml:space="preserve">当事人签名、盖章或捺指印： </w:t>
            </w:r>
          </w:p>
          <w:p>
            <w:pPr>
              <w:widowControl w:val="0"/>
              <w:overflowPunct w:val="0"/>
              <w:snapToGrid w:val="0"/>
              <w:ind w:firstLine="480"/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  <w:t xml:space="preserve">                           年      月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384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  <w:t>执法人员签    名</w:t>
            </w:r>
          </w:p>
        </w:tc>
        <w:tc>
          <w:tcPr>
            <w:tcW w:w="7371" w:type="dxa"/>
            <w:gridSpan w:val="3"/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  <w:t>年      月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384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  <w:t>备  注</w:t>
            </w:r>
          </w:p>
        </w:tc>
        <w:tc>
          <w:tcPr>
            <w:tcW w:w="7371" w:type="dxa"/>
            <w:gridSpan w:val="3"/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56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athJax_AMS">
    <w:altName w:val="Cambria"/>
    <w:panose1 w:val="00000000000000000000"/>
    <w:charset w:val="00"/>
    <w:family w:val="auto"/>
    <w:pitch w:val="default"/>
    <w:sig w:usb0="00000000" w:usb1="00000000" w:usb2="00000000" w:usb3="00000000" w:csb0="2000008F" w:csb1="5E03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5A07475E"/>
    <w:rsid w:val="28354E06"/>
    <w:rsid w:val="5A074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2024-01-17T02:54:00Z</dcterms:created>
  <dc:creator>文通图文广告</dc:creator>
  <cp:lastModifiedBy>文通图文广告</cp:lastModifiedBy>
  <dcterms:modified xsi:type="dcterms:W3CDTF">2024-01-17T02:55:14Z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FACE5B2D9F034486927583CD4E159CF3_13</vt:lpwstr>
  </property>
</Properties>
</file>