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ascii="黑体" w:hAnsi="黑体" w:eastAsia="黑体" w:cs="黑体"/>
          <w:lang w:eastAsia="zh-CN"/>
        </w:rPr>
      </w:pPr>
      <w:r>
        <w:rPr>
          <w:rFonts w:hint="eastAsia" w:ascii="黑体" w:hAnsi="黑体" w:eastAsia="黑体" w:cs="黑体"/>
        </w:rPr>
        <w:t>附件</w:t>
      </w:r>
      <w:r>
        <w:rPr>
          <w:rFonts w:hint="eastAsia" w:ascii="黑体" w:hAnsi="黑体" w:eastAsia="黑体" w:cs="黑体"/>
          <w:lang w:eastAsia="zh-CN"/>
        </w:rPr>
        <w:t>：</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720"/>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lang w:val="en-US" w:eastAsia="zh-CN"/>
        </w:rPr>
        <w:t>2024年第一</w:t>
      </w:r>
      <w:r>
        <w:rPr>
          <w:rFonts w:hint="eastAsia" w:ascii="方正小标宋简体" w:hAnsi="方正小标宋简体" w:eastAsia="方正小标宋简体" w:cs="方正小标宋简体"/>
          <w:sz w:val="44"/>
          <w:szCs w:val="44"/>
        </w:rPr>
        <w:t>季度</w:t>
      </w:r>
      <w:r>
        <w:rPr>
          <w:rFonts w:hint="eastAsia" w:ascii="方正小标宋简体" w:hAnsi="方正小标宋简体" w:eastAsia="方正小标宋简体" w:cs="方正小标宋简体"/>
          <w:sz w:val="44"/>
          <w:szCs w:val="44"/>
          <w:lang w:val="en-US" w:eastAsia="zh-CN"/>
        </w:rPr>
        <w:t>曾都区（本级）</w:t>
      </w:r>
      <w:r>
        <w:rPr>
          <w:rFonts w:hint="eastAsia" w:ascii="方正小标宋简体" w:hAnsi="方正小标宋简体" w:eastAsia="方正小标宋简体" w:cs="方正小标宋简体"/>
          <w:sz w:val="44"/>
          <w:szCs w:val="44"/>
        </w:rPr>
        <w:t>招标代理机构信用评价公示表</w:t>
      </w:r>
    </w:p>
    <w:tbl>
      <w:tblPr>
        <w:tblStyle w:val="5"/>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055"/>
        <w:gridCol w:w="2010"/>
        <w:gridCol w:w="1395"/>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717" w:type="dxa"/>
            <w:noWrap/>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序号</w:t>
            </w:r>
          </w:p>
        </w:tc>
        <w:tc>
          <w:tcPr>
            <w:tcW w:w="3055" w:type="dxa"/>
            <w:noWrap/>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代理机构名称</w:t>
            </w:r>
          </w:p>
        </w:tc>
        <w:tc>
          <w:tcPr>
            <w:tcW w:w="2010" w:type="dxa"/>
            <w:noWrap/>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服务质量评价</w:t>
            </w:r>
          </w:p>
          <w:p>
            <w:pPr>
              <w:spacing w:line="400" w:lineRule="exact"/>
              <w:jc w:val="center"/>
              <w:rPr>
                <w:rFonts w:ascii="黑体" w:hAnsi="黑体" w:eastAsia="黑体" w:cs="Times New Roman"/>
                <w:sz w:val="28"/>
                <w:szCs w:val="28"/>
              </w:rPr>
            </w:pPr>
            <w:r>
              <w:rPr>
                <w:rFonts w:hint="eastAsia" w:ascii="黑体" w:hAnsi="黑体" w:eastAsia="黑体" w:cs="黑体"/>
                <w:sz w:val="28"/>
                <w:szCs w:val="28"/>
              </w:rPr>
              <w:t>得分</w:t>
            </w:r>
          </w:p>
        </w:tc>
        <w:tc>
          <w:tcPr>
            <w:tcW w:w="1395" w:type="dxa"/>
            <w:noWrap/>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优良信用</w:t>
            </w:r>
          </w:p>
          <w:p>
            <w:pPr>
              <w:spacing w:line="400" w:lineRule="exact"/>
              <w:jc w:val="center"/>
              <w:rPr>
                <w:rFonts w:ascii="黑体" w:hAnsi="黑体" w:eastAsia="黑体" w:cs="Times New Roman"/>
                <w:sz w:val="28"/>
                <w:szCs w:val="28"/>
              </w:rPr>
            </w:pPr>
            <w:r>
              <w:rPr>
                <w:rFonts w:hint="eastAsia" w:ascii="黑体" w:hAnsi="黑体" w:eastAsia="黑体" w:cs="黑体"/>
                <w:sz w:val="28"/>
                <w:szCs w:val="28"/>
              </w:rPr>
              <w:t>加分</w:t>
            </w:r>
          </w:p>
        </w:tc>
        <w:tc>
          <w:tcPr>
            <w:tcW w:w="1340" w:type="dxa"/>
            <w:noWrap/>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综合评价</w:t>
            </w:r>
          </w:p>
          <w:p>
            <w:pPr>
              <w:spacing w:line="400" w:lineRule="exact"/>
              <w:jc w:val="center"/>
              <w:rPr>
                <w:rFonts w:ascii="黑体" w:hAnsi="黑体" w:eastAsia="黑体" w:cs="Times New Roman"/>
                <w:sz w:val="28"/>
                <w:szCs w:val="28"/>
              </w:rPr>
            </w:pPr>
            <w:r>
              <w:rPr>
                <w:rFonts w:hint="eastAsia" w:ascii="黑体" w:hAnsi="黑体" w:eastAsia="黑体" w:cs="黑体"/>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17" w:type="dxa"/>
            <w:noWrap/>
            <w:vAlign w:val="center"/>
          </w:tcPr>
          <w:p>
            <w:pPr>
              <w:jc w:val="center"/>
              <w:rPr>
                <w:rFonts w:hint="eastAsia" w:ascii="仿宋_GB2312" w:hAnsi="仿宋_GB2312" w:eastAsia="仿宋_GB2312" w:cs="Times New Roman"/>
                <w:b/>
                <w:bCs/>
                <w:lang w:val="en-US" w:eastAsia="zh-CN"/>
              </w:rPr>
            </w:pPr>
            <w:r>
              <w:rPr>
                <w:rFonts w:hint="eastAsia" w:ascii="仿宋_GB2312" w:hAnsi="仿宋_GB2312" w:eastAsia="仿宋_GB2312" w:cs="Times New Roman"/>
                <w:b/>
                <w:bCs/>
                <w:lang w:val="en-US" w:eastAsia="zh-CN"/>
              </w:rPr>
              <w:t>1</w:t>
            </w:r>
          </w:p>
        </w:tc>
        <w:tc>
          <w:tcPr>
            <w:tcW w:w="3055" w:type="dxa"/>
            <w:noWrap/>
            <w:vAlign w:val="center"/>
          </w:tcPr>
          <w:p>
            <w:pPr>
              <w:jc w:val="center"/>
              <w:rPr>
                <w:rFonts w:ascii="仿宋_GB2312" w:hAnsi="仿宋_GB2312" w:eastAsia="仿宋_GB2312" w:cs="Times New Roman"/>
                <w:b/>
                <w:bCs/>
              </w:rPr>
            </w:pPr>
            <w:r>
              <w:rPr>
                <w:rFonts w:hint="eastAsia" w:ascii="仿宋" w:hAnsi="仿宋" w:eastAsia="仿宋" w:cs="仿宋"/>
                <w:color w:val="auto"/>
                <w:sz w:val="32"/>
                <w:szCs w:val="32"/>
                <w:vertAlign w:val="baseline"/>
                <w:lang w:val="en-US" w:eastAsia="zh-CN"/>
              </w:rPr>
              <w:t>昀锦工程咨询有限公司</w:t>
            </w:r>
          </w:p>
        </w:tc>
        <w:tc>
          <w:tcPr>
            <w:tcW w:w="2010" w:type="dxa"/>
            <w:noWrap/>
            <w:vAlign w:val="cente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100</w:t>
            </w:r>
          </w:p>
        </w:tc>
        <w:tc>
          <w:tcPr>
            <w:tcW w:w="1395" w:type="dxa"/>
            <w:noWrap/>
            <w:vAlign w:val="center"/>
          </w:tcPr>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1340" w:type="dxa"/>
            <w:noWrap/>
            <w:vAlign w:val="center"/>
          </w:tcPr>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17" w:type="dxa"/>
            <w:noWrap/>
            <w:vAlign w:val="center"/>
          </w:tcPr>
          <w:p>
            <w:pPr>
              <w:jc w:val="center"/>
              <w:rPr>
                <w:rFonts w:hint="eastAsia" w:ascii="仿宋_GB2312" w:hAnsi="仿宋_GB2312" w:eastAsia="仿宋_GB2312" w:cs="Times New Roman"/>
                <w:b/>
                <w:bCs/>
                <w:lang w:val="en-US" w:eastAsia="zh-CN"/>
              </w:rPr>
            </w:pPr>
            <w:r>
              <w:rPr>
                <w:rFonts w:hint="eastAsia" w:ascii="仿宋_GB2312" w:hAnsi="仿宋_GB2312" w:eastAsia="仿宋_GB2312" w:cs="Times New Roman"/>
                <w:b/>
                <w:bCs/>
                <w:lang w:val="en-US" w:eastAsia="zh-CN"/>
              </w:rPr>
              <w:t>2</w:t>
            </w:r>
          </w:p>
        </w:tc>
        <w:tc>
          <w:tcPr>
            <w:tcW w:w="3055" w:type="dxa"/>
            <w:noWrap/>
            <w:vAlign w:val="center"/>
          </w:tcPr>
          <w:p>
            <w:pPr>
              <w:jc w:val="center"/>
              <w:rPr>
                <w:rFonts w:ascii="仿宋_GB2312" w:hAnsi="仿宋_GB2312" w:eastAsia="仿宋_GB2312" w:cs="Times New Roman"/>
                <w:b/>
                <w:bCs/>
              </w:rPr>
            </w:pPr>
            <w:r>
              <w:rPr>
                <w:rFonts w:hint="eastAsia" w:ascii="仿宋" w:hAnsi="仿宋" w:eastAsia="仿宋" w:cs="仿宋"/>
                <w:color w:val="auto"/>
                <w:sz w:val="32"/>
                <w:szCs w:val="32"/>
                <w:vertAlign w:val="baseline"/>
                <w:lang w:val="en-US" w:eastAsia="zh-CN"/>
              </w:rPr>
              <w:t>湖北省招标股份有限公司</w:t>
            </w:r>
          </w:p>
        </w:tc>
        <w:tc>
          <w:tcPr>
            <w:tcW w:w="2010" w:type="dxa"/>
            <w:noWrap/>
            <w:vAlign w:val="cente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100</w:t>
            </w:r>
          </w:p>
        </w:tc>
        <w:tc>
          <w:tcPr>
            <w:tcW w:w="1395" w:type="dxa"/>
            <w:noWrap/>
            <w:vAlign w:val="center"/>
          </w:tcPr>
          <w:p>
            <w:pPr>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13</w:t>
            </w:r>
          </w:p>
        </w:tc>
        <w:tc>
          <w:tcPr>
            <w:tcW w:w="1340" w:type="dxa"/>
            <w:noWrap/>
            <w:vAlign w:val="center"/>
          </w:tcPr>
          <w:p>
            <w:pPr>
              <w:jc w:val="center"/>
              <w:rPr>
                <w:rFonts w:hint="default"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113</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17" w:type="dxa"/>
            <w:noWrap/>
            <w:vAlign w:val="center"/>
          </w:tcPr>
          <w:p>
            <w:pPr>
              <w:jc w:val="center"/>
              <w:rPr>
                <w:rFonts w:hint="eastAsia" w:ascii="仿宋_GB2312" w:hAnsi="仿宋_GB2312" w:eastAsia="仿宋_GB2312" w:cs="Times New Roman"/>
                <w:b/>
                <w:bCs/>
                <w:lang w:val="en-US" w:eastAsia="zh-CN"/>
              </w:rPr>
            </w:pPr>
            <w:r>
              <w:rPr>
                <w:rFonts w:hint="eastAsia" w:ascii="仿宋_GB2312" w:hAnsi="仿宋_GB2312" w:eastAsia="仿宋_GB2312" w:cs="Times New Roman"/>
                <w:b/>
                <w:bCs/>
                <w:lang w:val="en-US" w:eastAsia="zh-CN"/>
              </w:rPr>
              <w:t>3</w:t>
            </w:r>
          </w:p>
        </w:tc>
        <w:tc>
          <w:tcPr>
            <w:tcW w:w="3055" w:type="dxa"/>
            <w:noWrap/>
            <w:vAlign w:val="center"/>
          </w:tcPr>
          <w:p>
            <w:pPr>
              <w:jc w:val="center"/>
              <w:rPr>
                <w:rFonts w:ascii="仿宋_GB2312" w:hAnsi="仿宋_GB2312" w:eastAsia="仿宋_GB2312" w:cs="Times New Roman"/>
                <w:b/>
                <w:bCs/>
              </w:rPr>
            </w:pPr>
            <w:r>
              <w:rPr>
                <w:rFonts w:hint="eastAsia" w:ascii="仿宋" w:hAnsi="仿宋" w:eastAsia="仿宋" w:cs="仿宋"/>
                <w:color w:val="auto"/>
                <w:sz w:val="32"/>
                <w:szCs w:val="32"/>
                <w:highlight w:val="none"/>
                <w:vertAlign w:val="baseline"/>
                <w:lang w:val="en-US" w:eastAsia="zh-CN"/>
              </w:rPr>
              <w:t>湖北合诚工程咨询管理有限公司</w:t>
            </w:r>
          </w:p>
        </w:tc>
        <w:tc>
          <w:tcPr>
            <w:tcW w:w="2010" w:type="dxa"/>
            <w:noWrap/>
            <w:vAlign w:val="cente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100</w:t>
            </w:r>
          </w:p>
        </w:tc>
        <w:tc>
          <w:tcPr>
            <w:tcW w:w="1395" w:type="dxa"/>
            <w:noWrap/>
            <w:vAlign w:val="center"/>
          </w:tcPr>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1340" w:type="dxa"/>
            <w:noWrap/>
            <w:vAlign w:val="cente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17" w:type="dxa"/>
            <w:noWrap/>
            <w:vAlign w:val="center"/>
          </w:tcPr>
          <w:p>
            <w:pPr>
              <w:jc w:val="center"/>
              <w:rPr>
                <w:rFonts w:hint="eastAsia" w:ascii="仿宋_GB2312" w:hAnsi="仿宋_GB2312" w:eastAsia="仿宋_GB2312" w:cs="Times New Roman"/>
                <w:b/>
                <w:bCs/>
                <w:lang w:val="en-US" w:eastAsia="zh-CN"/>
              </w:rPr>
            </w:pPr>
            <w:r>
              <w:rPr>
                <w:rFonts w:hint="eastAsia" w:ascii="仿宋_GB2312" w:hAnsi="仿宋_GB2312" w:eastAsia="仿宋_GB2312" w:cs="Times New Roman"/>
                <w:b/>
                <w:bCs/>
                <w:lang w:val="en-US" w:eastAsia="zh-CN"/>
              </w:rPr>
              <w:t>4</w:t>
            </w:r>
          </w:p>
        </w:tc>
        <w:tc>
          <w:tcPr>
            <w:tcW w:w="3055" w:type="dxa"/>
            <w:noWrap/>
            <w:vAlign w:val="center"/>
          </w:tcPr>
          <w:p>
            <w:pPr>
              <w:jc w:val="center"/>
              <w:rPr>
                <w:rFonts w:ascii="仿宋_GB2312" w:hAnsi="仿宋_GB2312" w:eastAsia="仿宋_GB2312" w:cs="Times New Roman"/>
                <w:b/>
                <w:bCs/>
              </w:rPr>
            </w:pPr>
            <w:r>
              <w:rPr>
                <w:rFonts w:hint="eastAsia" w:ascii="仿宋" w:hAnsi="仿宋" w:eastAsia="仿宋" w:cs="仿宋"/>
                <w:color w:val="auto"/>
                <w:sz w:val="32"/>
                <w:szCs w:val="32"/>
                <w:vertAlign w:val="baseline"/>
                <w:lang w:val="en-US" w:eastAsia="zh-CN"/>
              </w:rPr>
              <w:t>湖北老班长项目管理有限公司</w:t>
            </w:r>
          </w:p>
        </w:tc>
        <w:tc>
          <w:tcPr>
            <w:tcW w:w="2010" w:type="dxa"/>
            <w:noWrap/>
            <w:vAlign w:val="cente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100</w:t>
            </w:r>
          </w:p>
        </w:tc>
        <w:tc>
          <w:tcPr>
            <w:tcW w:w="1395" w:type="dxa"/>
            <w:noWrap/>
            <w:vAlign w:val="center"/>
          </w:tcPr>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1340" w:type="dxa"/>
            <w:noWrap/>
            <w:vAlign w:val="cente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17" w:type="dxa"/>
            <w:noWrap/>
            <w:vAlign w:val="center"/>
          </w:tcPr>
          <w:p>
            <w:pPr>
              <w:jc w:val="center"/>
              <w:rPr>
                <w:rFonts w:hint="default" w:ascii="仿宋_GB2312" w:hAnsi="仿宋_GB2312" w:eastAsia="仿宋_GB2312" w:cs="Times New Roman"/>
                <w:b/>
                <w:bCs/>
                <w:lang w:val="en-US" w:eastAsia="zh-CN"/>
              </w:rPr>
            </w:pPr>
            <w:r>
              <w:rPr>
                <w:rFonts w:hint="eastAsia" w:ascii="仿宋_GB2312" w:hAnsi="仿宋_GB2312" w:eastAsia="仿宋_GB2312" w:cs="Times New Roman"/>
                <w:b/>
                <w:bCs/>
                <w:lang w:val="en-US" w:eastAsia="zh-CN"/>
              </w:rPr>
              <w:t>5</w:t>
            </w:r>
          </w:p>
        </w:tc>
        <w:tc>
          <w:tcPr>
            <w:tcW w:w="3055" w:type="dxa"/>
            <w:noWrap/>
            <w:vAlign w:val="center"/>
          </w:tcPr>
          <w:p>
            <w:pPr>
              <w:jc w:val="center"/>
              <w:rPr>
                <w:rFonts w:ascii="仿宋_GB2312" w:hAnsi="仿宋_GB2312" w:eastAsia="仿宋_GB2312" w:cs="Times New Roman"/>
                <w:b/>
                <w:bCs/>
              </w:rPr>
            </w:pPr>
            <w:r>
              <w:rPr>
                <w:rFonts w:hint="eastAsia" w:ascii="仿宋" w:hAnsi="仿宋" w:eastAsia="仿宋" w:cs="仿宋"/>
                <w:color w:val="auto"/>
                <w:sz w:val="32"/>
                <w:szCs w:val="32"/>
                <w:vertAlign w:val="baseline"/>
                <w:lang w:val="en-US" w:eastAsia="zh-CN"/>
              </w:rPr>
              <w:t>湖北启新咨询有限公司</w:t>
            </w:r>
          </w:p>
        </w:tc>
        <w:tc>
          <w:tcPr>
            <w:tcW w:w="2010" w:type="dxa"/>
            <w:noWrap/>
            <w:vAlign w:val="cente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100</w:t>
            </w:r>
          </w:p>
        </w:tc>
        <w:tc>
          <w:tcPr>
            <w:tcW w:w="1395" w:type="dxa"/>
            <w:noWrap/>
            <w:vAlign w:val="center"/>
          </w:tcPr>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1340" w:type="dxa"/>
            <w:noWrap/>
            <w:vAlign w:val="cente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8517" w:type="dxa"/>
            <w:gridSpan w:val="5"/>
            <w:noWrap/>
            <w:vAlign w:val="center"/>
          </w:tcPr>
          <w:p>
            <w:pPr>
              <w:jc w:val="left"/>
              <w:rPr>
                <w:rFonts w:hint="default" w:ascii="仿宋_GB2312" w:hAnsi="仿宋_GB2312" w:eastAsia="仿宋_GB2312" w:cs="Times New Roman"/>
                <w:b w:val="0"/>
                <w:bCs w:val="0"/>
                <w:lang w:val="en-US" w:eastAsia="zh-CN"/>
              </w:rPr>
            </w:pPr>
            <w:r>
              <w:rPr>
                <w:rFonts w:hint="eastAsia" w:ascii="仿宋" w:hAnsi="仿宋" w:eastAsia="仿宋" w:cs="仿宋"/>
                <w:b w:val="0"/>
                <w:bCs w:val="0"/>
                <w:sz w:val="30"/>
                <w:szCs w:val="30"/>
                <w:lang w:val="en-US" w:eastAsia="zh-CN"/>
              </w:rPr>
              <w:t>注：本次评价只对本季度在曾都区公共资源交易中心开展过招投标代理活动的代理机构进行信用评价（相同得分排名不分先后。</w:t>
            </w:r>
          </w:p>
        </w:tc>
      </w:tr>
    </w:tbl>
    <w:p>
      <w:pPr>
        <w:pStyle w:val="2"/>
        <w:ind w:left="0" w:leftChars="0" w:firstLine="0" w:firstLineChars="0"/>
        <w:rPr>
          <w:rFonts w:hint="default" w:ascii="仿宋_GB2312" w:hAnsi="仿宋" w:cs="仿宋_GB2312"/>
          <w:b w:val="0"/>
          <w:bCs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Tc3YjRlNzk2NTBmNzdhZGI2OTI1YmRkMmY1NTcifQ=="/>
  </w:docVars>
  <w:rsids>
    <w:rsidRoot w:val="7EFD21E1"/>
    <w:rsid w:val="2B283194"/>
    <w:rsid w:val="7EFD2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qFormat/>
    <w:uiPriority w:val="99"/>
    <w:pPr>
      <w:spacing w:line="560" w:lineRule="exact"/>
      <w:ind w:firstLine="960" w:firstLineChars="200"/>
    </w:pPr>
    <w:rPr>
      <w:rFonts w:ascii="宋体" w:hAnsi="宋体" w:eastAsia="仿宋_GB2312" w:cs="宋体"/>
      <w:b/>
      <w:bCs/>
    </w:r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2024-04-03T07:47:00Z</dcterms:created>
  <dc:creator>李启航15586692525</dc:creator>
  <cp:lastModifiedBy>李启航15586692525</cp:lastModifiedBy>
  <cp:lastPrinted>2024-04-09T01:05:31Z</cp:lastPrinted>
  <dcterms:modified xsi:type="dcterms:W3CDTF">2024-04-09T01:06:47Z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3B4BA714B0814F83BEFFB3DB8A143984_11</vt:lpwstr>
  </property>
</Properties>
</file>