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Style w:val="4"/>
          <w:rFonts w:hint="eastAsia" w:ascii="仿宋_GB2312" w:hAnsi="仿宋" w:eastAsia="仿宋_GB2312"/>
          <w:color w:val="auto"/>
          <w:sz w:val="32"/>
          <w:szCs w:val="32"/>
        </w:rPr>
      </w:pPr>
      <w:r>
        <w:rPr>
          <w:rStyle w:val="4"/>
          <w:rFonts w:hint="eastAsia" w:ascii="仿宋_GB2312" w:hAnsi="仿宋" w:eastAsia="仿宋_GB2312"/>
          <w:color w:val="auto"/>
          <w:sz w:val="32"/>
          <w:szCs w:val="32"/>
        </w:rPr>
        <w:t>附件2</w:t>
      </w:r>
    </w:p>
    <w:p>
      <w:pPr>
        <w:jc w:val="center"/>
        <w:rPr>
          <w:rStyle w:val="4"/>
          <w:rFonts w:hint="eastAsia" w:ascii="华文中宋" w:hAnsi="华文中宋" w:cs="黑体"/>
          <w:bCs/>
          <w:color w:val="auto"/>
          <w:sz w:val="36"/>
          <w:szCs w:val="44"/>
        </w:rPr>
      </w:pPr>
      <w:r>
        <w:rPr>
          <w:rStyle w:val="4"/>
          <w:rFonts w:hint="eastAsia" w:ascii="华文中宋" w:hAnsi="华文中宋" w:cs="黑体"/>
          <w:bCs/>
          <w:color w:val="auto"/>
          <w:sz w:val="36"/>
          <w:szCs w:val="44"/>
        </w:rPr>
        <w:t>实施“中国好粮油”行动示范企业评分表</w:t>
      </w:r>
    </w:p>
    <w:p>
      <w:pPr>
        <w:rPr>
          <w:rStyle w:val="4"/>
          <w:rFonts w:hint="eastAsia" w:ascii="华文中宋" w:hAnsi="华文中宋" w:cs="黑体"/>
          <w:bCs/>
          <w:color w:val="auto"/>
          <w:sz w:val="36"/>
          <w:szCs w:val="44"/>
        </w:rPr>
      </w:pPr>
      <w:r>
        <w:rPr>
          <w:rStyle w:val="4"/>
          <w:rFonts w:hint="eastAsia" w:ascii="华文中宋" w:hAnsi="华文中宋" w:cs="黑体"/>
          <w:bCs/>
          <w:color w:val="auto"/>
          <w:sz w:val="36"/>
          <w:szCs w:val="44"/>
        </w:rPr>
        <w:t>企业名称：</w:t>
      </w:r>
    </w:p>
    <w:tbl>
      <w:tblPr>
        <w:tblStyle w:val="2"/>
        <w:tblW w:w="10033" w:type="dxa"/>
        <w:tblInd w:w="-53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5"/>
        <w:gridCol w:w="362"/>
        <w:gridCol w:w="4801"/>
        <w:gridCol w:w="765"/>
        <w:gridCol w:w="756"/>
        <w:gridCol w:w="19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</w:trPr>
        <w:tc>
          <w:tcPr>
            <w:tcW w:w="6598" w:type="dxa"/>
            <w:gridSpan w:val="3"/>
            <w:vAlign w:val="center"/>
          </w:tcPr>
          <w:p>
            <w:pPr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示范企业评审考核内容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分值</w:t>
            </w: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得分</w:t>
            </w:r>
          </w:p>
        </w:tc>
        <w:tc>
          <w:tcPr>
            <w:tcW w:w="1914" w:type="dxa"/>
            <w:vAlign w:val="center"/>
          </w:tcPr>
          <w:p>
            <w:pPr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备   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6" w:hRule="atLeast"/>
        </w:trPr>
        <w:tc>
          <w:tcPr>
            <w:tcW w:w="143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企业规模(12分)</w:t>
            </w: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1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农业产业化国家级重点龙头企业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6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年加工能力达到5万吨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3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2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农业产业化省级龙头企业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3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同上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5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3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全国放心粮油示范工程示范加工企业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3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同上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0" w:hRule="atLeast"/>
        </w:trPr>
        <w:tc>
          <w:tcPr>
            <w:tcW w:w="143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商标和</w:t>
            </w:r>
          </w:p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品牌</w:t>
            </w:r>
          </w:p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(18分)</w:t>
            </w: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1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中国驰名商标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  <w:u w:val="single"/>
              </w:rPr>
              <w:t xml:space="preserve">    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个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6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24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pacing w:val="-20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pacing w:val="-20"/>
                <w:sz w:val="26"/>
                <w:szCs w:val="26"/>
              </w:rPr>
              <w:t>每个3分，共6分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5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2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湖北名牌产品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  <w:u w:val="single"/>
              </w:rPr>
              <w:t xml:space="preserve">   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个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8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pacing w:val="-20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pacing w:val="-20"/>
                <w:sz w:val="26"/>
                <w:szCs w:val="26"/>
              </w:rPr>
              <w:t>每个2分，共8分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3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绿色食品认证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  <w:u w:val="single"/>
              </w:rPr>
              <w:t xml:space="preserve">    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个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4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pacing w:val="-20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pacing w:val="-20"/>
                <w:sz w:val="26"/>
                <w:szCs w:val="26"/>
              </w:rPr>
              <w:t>每个2分，共4分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7" w:hRule="atLeast"/>
        </w:trPr>
        <w:tc>
          <w:tcPr>
            <w:tcW w:w="143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企业信用</w:t>
            </w:r>
          </w:p>
          <w:p>
            <w:pPr>
              <w:spacing w:line="300" w:lineRule="exact"/>
              <w:ind w:left="-80" w:leftChars="-38" w:right="-113" w:rightChars="-54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及财务状况     (15分)</w:t>
            </w: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1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银行信用等级    级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5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AA级及以上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7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2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资产负债率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  <w:u w:val="single"/>
              </w:rPr>
              <w:t xml:space="preserve">    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 xml:space="preserve"> % </w:t>
            </w:r>
          </w:p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5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应低于60%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8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3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总资产报酬率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  <w:u w:val="single"/>
              </w:rPr>
              <w:t xml:space="preserve">     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%</w:t>
            </w:r>
          </w:p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5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应高于现行一年期银行贷款基准利率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3" w:hRule="atLeast"/>
        </w:trPr>
        <w:tc>
          <w:tcPr>
            <w:tcW w:w="143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科技支撑体系</w:t>
            </w:r>
          </w:p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（15分）</w:t>
            </w: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1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成立了院士工作站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5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2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2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与高等院校、科研机构开展产学研合作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4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5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3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发明专利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  <w:u w:val="single"/>
              </w:rPr>
              <w:t xml:space="preserve">     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个数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2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pacing w:val="-20"/>
                <w:sz w:val="26"/>
                <w:szCs w:val="26"/>
              </w:rPr>
              <w:t>每个2分，共2分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0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 xml:space="preserve">实用新型专利 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  <w:u w:val="single"/>
              </w:rPr>
              <w:t xml:space="preserve">     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 xml:space="preserve"> 个数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2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pacing w:val="-20"/>
                <w:sz w:val="26"/>
                <w:szCs w:val="26"/>
              </w:rPr>
              <w:t>每个2分，共2分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9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 xml:space="preserve">外包装设计专利 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  <w:u w:val="single"/>
              </w:rPr>
              <w:t xml:space="preserve">     </w:t>
            </w: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 xml:space="preserve"> 个数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2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pacing w:val="-20"/>
                <w:sz w:val="26"/>
                <w:szCs w:val="26"/>
              </w:rPr>
              <w:t>每个2分，共2分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1" w:hRule="atLeast"/>
        </w:trPr>
        <w:tc>
          <w:tcPr>
            <w:tcW w:w="143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销售服务体系</w:t>
            </w:r>
          </w:p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(10分)</w:t>
            </w: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1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网上销售平台合同及网址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5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2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2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线下销售渠道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5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门店、流动车等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0" w:hRule="atLeast"/>
        </w:trPr>
        <w:tc>
          <w:tcPr>
            <w:tcW w:w="143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质量体系      (10分)</w:t>
            </w: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1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ISO9001质量管理体系认证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5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8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2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近3年内没有发生产品质量安全事故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3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5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3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管理制度健全，建立了质量保障体系和追溯体系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2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7" w:hRule="atLeast"/>
        </w:trPr>
        <w:tc>
          <w:tcPr>
            <w:tcW w:w="143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基地建设   (10分)</w:t>
            </w: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1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建设1万亩优质粮油基地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5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143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2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发展订单生产，订单履约率达到30%以上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5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143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粮食产后服务体系   (10分)</w:t>
            </w:r>
          </w:p>
        </w:tc>
        <w:tc>
          <w:tcPr>
            <w:tcW w:w="362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1</w:t>
            </w:r>
          </w:p>
        </w:tc>
        <w:tc>
          <w:tcPr>
            <w:tcW w:w="4801" w:type="dxa"/>
            <w:vAlign w:val="center"/>
          </w:tcPr>
          <w:p>
            <w:pPr>
              <w:spacing w:line="300" w:lineRule="exact"/>
              <w:jc w:val="left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建设1家集粮食收储、清理、干燥、加工、运输、销售等于一体的产后服务中心。</w:t>
            </w:r>
          </w:p>
        </w:tc>
        <w:tc>
          <w:tcPr>
            <w:tcW w:w="765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10</w:t>
            </w:r>
          </w:p>
        </w:tc>
        <w:tc>
          <w:tcPr>
            <w:tcW w:w="756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</w:p>
        </w:tc>
        <w:tc>
          <w:tcPr>
            <w:tcW w:w="1914" w:type="dxa"/>
            <w:vAlign w:val="center"/>
          </w:tcPr>
          <w:p>
            <w:pPr>
              <w:spacing w:line="30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6"/>
                <w:szCs w:val="26"/>
              </w:rPr>
              <w:t>年服务能力达到1万吨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7A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90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俯瞰风景</cp:lastModifiedBy>
  <dcterms:modified xsi:type="dcterms:W3CDTF">2019-06-24T08:47:07Z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</Properties>
</file>