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BB6BF">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rFonts w:ascii="仿宋_GB2312" w:hAnsi="宋体" w:eastAsia="仿宋_GB2312"/>
          <w:sz w:val="32"/>
          <w:szCs w:val="32"/>
        </w:rPr>
      </w:pPr>
    </w:p>
    <w:p w14:paraId="142A2DD4">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sz w:val="32"/>
          <w:szCs w:val="32"/>
        </w:rPr>
      </w:pPr>
    </w:p>
    <w:p w14:paraId="44C74AE8">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sz w:val="32"/>
          <w:szCs w:val="32"/>
        </w:rPr>
      </w:pPr>
    </w:p>
    <w:p w14:paraId="5545AEDD">
      <w:pPr>
        <w:keepNext w:val="0"/>
        <w:keepLines w:val="0"/>
        <w:pageBreakBefore w:val="0"/>
        <w:widowControl w:val="0"/>
        <w:kinsoku/>
        <w:wordWrap/>
        <w:overflowPunct/>
        <w:topLinePunct w:val="0"/>
        <w:autoSpaceDE/>
        <w:autoSpaceDN/>
        <w:bidi w:val="0"/>
        <w:adjustRightInd/>
        <w:snapToGrid/>
        <w:spacing w:line="700" w:lineRule="exact"/>
        <w:ind w:firstLine="32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曾水</w:t>
      </w:r>
      <w:r>
        <w:rPr>
          <w:rFonts w:hint="eastAsia" w:ascii="仿宋_GB2312" w:hAnsi="仿宋_GB2312" w:eastAsia="仿宋_GB2312" w:cs="仿宋_GB2312"/>
          <w:sz w:val="32"/>
          <w:szCs w:val="32"/>
          <w:lang w:val="en-US" w:eastAsia="zh-CN"/>
        </w:rPr>
        <w:t>许可</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号</w:t>
      </w:r>
    </w:p>
    <w:p w14:paraId="1467C19D">
      <w:pPr>
        <w:keepNext w:val="0"/>
        <w:keepLines w:val="0"/>
        <w:pageBreakBefore w:val="0"/>
        <w:widowControl w:val="0"/>
        <w:kinsoku/>
        <w:wordWrap/>
        <w:overflowPunct/>
        <w:topLinePunct w:val="0"/>
        <w:autoSpaceDE/>
        <w:autoSpaceDN/>
        <w:bidi w:val="0"/>
        <w:adjustRightInd/>
        <w:snapToGrid/>
        <w:spacing w:line="700" w:lineRule="exact"/>
        <w:ind w:firstLine="440"/>
        <w:jc w:val="center"/>
        <w:textAlignment w:val="auto"/>
        <w:rPr>
          <w:rFonts w:ascii="方正小标宋简体" w:eastAsia="方正小标宋简体"/>
          <w:sz w:val="44"/>
          <w:szCs w:val="44"/>
        </w:rPr>
      </w:pPr>
    </w:p>
    <w:p w14:paraId="0573CD82">
      <w:pPr>
        <w:keepNext w:val="0"/>
        <w:keepLines w:val="0"/>
        <w:pageBreakBefore w:val="0"/>
        <w:widowControl w:val="0"/>
        <w:kinsoku/>
        <w:wordWrap/>
        <w:overflowPunct/>
        <w:topLinePunct w:val="0"/>
        <w:autoSpaceDE/>
        <w:autoSpaceDN/>
        <w:bidi w:val="0"/>
        <w:adjustRightInd/>
        <w:snapToGrid/>
        <w:spacing w:line="700" w:lineRule="exact"/>
        <w:ind w:firstLine="440"/>
        <w:jc w:val="center"/>
        <w:textAlignment w:val="auto"/>
        <w:rPr>
          <w:rFonts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随州市</w:t>
      </w:r>
      <w:r>
        <w:rPr>
          <w:rFonts w:ascii="方正小标宋简体" w:hAnsi="黑体" w:eastAsia="方正小标宋简体" w:cs="黑体"/>
          <w:kern w:val="10"/>
          <w:sz w:val="44"/>
          <w:szCs w:val="44"/>
        </w:rPr>
        <w:t>曾都区水利和湖泊局</w:t>
      </w:r>
    </w:p>
    <w:p w14:paraId="232B83F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关于随州市城北片区合溪河排水明渠</w:t>
      </w:r>
    </w:p>
    <w:p w14:paraId="4FE0479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黑体" w:eastAsia="方正小标宋简体" w:cs="黑体"/>
          <w:kern w:val="10"/>
          <w:sz w:val="44"/>
          <w:szCs w:val="44"/>
        </w:rPr>
      </w:pPr>
      <w:r>
        <w:rPr>
          <w:rFonts w:hint="eastAsia" w:ascii="方正小标宋简体" w:hAnsi="黑体" w:eastAsia="方正小标宋简体" w:cs="黑体"/>
          <w:kern w:val="10"/>
          <w:sz w:val="44"/>
          <w:szCs w:val="44"/>
        </w:rPr>
        <w:t>（随州大道-汉丹铁路）建设项目洪水影响评价报告的批复</w:t>
      </w:r>
    </w:p>
    <w:p w14:paraId="7FF3B1FD">
      <w:pPr>
        <w:keepNext w:val="0"/>
        <w:keepLines w:val="0"/>
        <w:pageBreakBefore w:val="0"/>
        <w:widowControl w:val="0"/>
        <w:kinsoku/>
        <w:wordWrap/>
        <w:overflowPunct/>
        <w:topLinePunct w:val="0"/>
        <w:autoSpaceDE/>
        <w:autoSpaceDN/>
        <w:bidi w:val="0"/>
        <w:adjustRightInd/>
        <w:snapToGrid/>
        <w:spacing w:line="700" w:lineRule="exact"/>
        <w:ind w:firstLine="320"/>
        <w:textAlignment w:val="auto"/>
        <w:rPr>
          <w:rFonts w:ascii="仿宋_GB2312" w:hAnsi="仿宋_GB2312" w:eastAsia="仿宋_GB2312" w:cs="仿宋_GB2312"/>
          <w:sz w:val="32"/>
          <w:szCs w:val="32"/>
        </w:rPr>
      </w:pPr>
    </w:p>
    <w:p w14:paraId="161B5A1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随州市曾都宏图建设开发有限公司：</w:t>
      </w:r>
    </w:p>
    <w:p w14:paraId="6C957D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你单位报送的《随州市城北片区合溪河排水明渠（随州大道-汉丹铁路）建设项目洪水影响评价报告》（以下简称《洪评报告》）及申请已收悉，根据《中华人民共和国防洪法》等相关法律规定，经组织专家审查，现批复如下：</w:t>
      </w:r>
    </w:p>
    <w:p w14:paraId="5513B8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一、工程项目概况</w:t>
      </w:r>
    </w:p>
    <w:p w14:paraId="162CA3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随州市城北片区合溪河排水明渠（随州大道-汉丹铁路）建设项目共分为两段，即随州市城北片区合溪河排水明渠（随州大道—锦程路）段、合溪河排水渠（玉柴大道—汉丹铁路）段。</w:t>
      </w:r>
    </w:p>
    <w:p w14:paraId="6334CC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1.随州市城北片区合溪河排水明渠（随州大道—锦程路）建设项目全长734.619米，新建明渠采用梯形明渠断面形式，渠道底宽6.0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7.0米，硬化高度2.5米，具体建设内容包括：渠道土石方开挖、渠底硬化、护岸硬化、岸顶防护、绿化等综合治理。</w:t>
      </w:r>
    </w:p>
    <w:p w14:paraId="06452F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2.合溪河排水渠（玉柴大道—汉丹铁路）建设项目新建排水明渠，长1600米，宽4米，主要对渠道进行清淤疏浚、护岸加固、岸顶硬化等综合治理工程，配套铺设截污管网。</w:t>
      </w:r>
    </w:p>
    <w:p w14:paraId="2482E8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二、洪水评价分析和计算成果</w:t>
      </w:r>
    </w:p>
    <w:p w14:paraId="0A9FDF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基本同意《洪评报告》项目所在河段防洪标准为10年一遇，设计流量为28.65—44.67立方米每秒，相应水位为82.26—68.55米。</w:t>
      </w:r>
    </w:p>
    <w:p w14:paraId="56610E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洪水影响综合评价</w:t>
      </w:r>
    </w:p>
    <w:p w14:paraId="3A1642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1.基本同意《洪评报告》工程建成后对河</w:t>
      </w:r>
      <w:r>
        <w:rPr>
          <w:rFonts w:hint="eastAsia" w:ascii="仿宋_GB2312" w:hAnsi="仿宋_GB2312" w:eastAsia="仿宋_GB2312" w:cs="仿宋_GB2312"/>
          <w:sz w:val="32"/>
          <w:szCs w:val="32"/>
          <w:lang w:eastAsia="zh-CN"/>
        </w:rPr>
        <w:t>道</w:t>
      </w:r>
      <w:r>
        <w:rPr>
          <w:rFonts w:hint="eastAsia" w:ascii="仿宋_GB2312" w:hAnsi="仿宋_GB2312" w:eastAsia="仿宋_GB2312" w:cs="仿宋_GB2312"/>
          <w:sz w:val="32"/>
          <w:szCs w:val="32"/>
        </w:rPr>
        <w:t>行洪、河势稳定影响较小的评价结论。</w:t>
      </w:r>
    </w:p>
    <w:p w14:paraId="385300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2.基本同意《洪评报告》项目建设对水工程安全、防汛抢险以及第三人合法水事权益影响较小的评价结论。</w:t>
      </w:r>
    </w:p>
    <w:p w14:paraId="566E83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四、工程影响防治与补救措施</w:t>
      </w:r>
    </w:p>
    <w:p w14:paraId="1025D0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1.项目涉水工程施工应选在枯水季，尽量避免在主汛期进行。建设单位在汛期施工应编制《施工期度汛方案和防汛抢险应急预案》，报区防汛指挥机构审批。</w:t>
      </w:r>
    </w:p>
    <w:p w14:paraId="74DCAE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2.工程实施期间，应加强工地防洪检查，保持排水系统畅通。施工完成后要及时拆除涉河便道，清除建筑垃圾，保证河道畅通。</w:t>
      </w:r>
    </w:p>
    <w:p w14:paraId="24F5D9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3.项目建设单位要对河道岸坡顶部欠高地段进行处理并达到防洪要求。</w:t>
      </w:r>
    </w:p>
    <w:p w14:paraId="25B6E1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4.属地政府要加强合溪河跨裕民大道箱涵段汛期河道日常管理，防止箱涵及河道堵塞影响行洪安全。</w:t>
      </w:r>
    </w:p>
    <w:p w14:paraId="6CE7E6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五、项目监督管理</w:t>
      </w:r>
    </w:p>
    <w:p w14:paraId="600BF7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1.该项目建设过程中有重大变更的，项目建设单位应按照规定重新办理行政审批手续。</w:t>
      </w:r>
    </w:p>
    <w:p w14:paraId="4F7DCE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2.项目实施完成后属地政府要及时向区水利和湖泊局申请调整合溪河河道规划治导线并变更合溪河随州大道至汉丹铁路段划界确权范围。</w:t>
      </w:r>
    </w:p>
    <w:p w14:paraId="5B7620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3.涉水工程应在河道管理单位的全程监督下进行，服从防汛指挥机构的统一指挥。施工过程中要注意</w:t>
      </w:r>
      <w:bookmarkStart w:id="0" w:name="_GoBack"/>
      <w:r>
        <w:rPr>
          <w:rFonts w:hint="eastAsia" w:ascii="仿宋_GB2312" w:hAnsi="仿宋_GB2312" w:eastAsia="仿宋_GB2312" w:cs="仿宋_GB2312"/>
          <w:sz w:val="32"/>
          <w:szCs w:val="32"/>
        </w:rPr>
        <w:t>保护</w:t>
      </w:r>
      <w:bookmarkEnd w:id="0"/>
      <w:r>
        <w:rPr>
          <w:rFonts w:hint="eastAsia" w:ascii="仿宋_GB2312" w:hAnsi="仿宋_GB2312" w:eastAsia="仿宋_GB2312" w:cs="仿宋_GB2312"/>
          <w:sz w:val="32"/>
          <w:szCs w:val="32"/>
        </w:rPr>
        <w:t>河道边坡稳定，严禁向河道弃土弃渣，保证河道畅通。</w:t>
      </w:r>
    </w:p>
    <w:p w14:paraId="128EA1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4.因工程建设影响第三人合法水事权益的，由建设单位妥善解决。</w:t>
      </w:r>
    </w:p>
    <w:p w14:paraId="5EE09F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1906D8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41111E5B">
      <w:pPr>
        <w:keepNext w:val="0"/>
        <w:keepLines w:val="0"/>
        <w:pageBreakBefore w:val="0"/>
        <w:widowControl w:val="0"/>
        <w:kinsoku/>
        <w:wordWrap/>
        <w:overflowPunct/>
        <w:topLinePunct w:val="0"/>
        <w:autoSpaceDE/>
        <w:autoSpaceDN/>
        <w:bidi w:val="0"/>
        <w:adjustRightInd/>
        <w:snapToGrid/>
        <w:spacing w:line="600" w:lineRule="exact"/>
        <w:ind w:firstLine="4160" w:firstLineChars="1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随州市曾都区水利和湖泊局</w:t>
      </w:r>
    </w:p>
    <w:p w14:paraId="3D6B09E7">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w:t>
      </w:r>
    </w:p>
    <w:p w14:paraId="6E6D6384">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ascii="仿宋_GB2312" w:hAnsi="仿宋_GB2312" w:eastAsia="仿宋_GB2312" w:cs="仿宋_GB2312"/>
          <w:sz w:val="32"/>
          <w:szCs w:val="32"/>
        </w:rPr>
      </w:pPr>
    </w:p>
    <w:p w14:paraId="1D0622DF">
      <w:pPr>
        <w:spacing w:line="600" w:lineRule="exact"/>
        <w:ind w:firstLine="4480" w:firstLineChars="1400"/>
        <w:rPr>
          <w:rFonts w:ascii="仿宋_GB2312" w:hAnsi="仿宋_GB2312" w:eastAsia="仿宋_GB2312" w:cs="仿宋_GB2312"/>
          <w:sz w:val="32"/>
          <w:szCs w:val="32"/>
        </w:rPr>
      </w:pPr>
    </w:p>
    <w:p w14:paraId="026A4325">
      <w:pPr>
        <w:spacing w:line="600" w:lineRule="exact"/>
        <w:ind w:firstLine="4480" w:firstLineChars="1400"/>
        <w:rPr>
          <w:rFonts w:ascii="仿宋_GB2312" w:hAnsi="仿宋_GB2312" w:eastAsia="仿宋_GB2312" w:cs="仿宋_GB2312"/>
          <w:sz w:val="32"/>
          <w:szCs w:val="32"/>
        </w:rPr>
      </w:pPr>
    </w:p>
    <w:p w14:paraId="496225D3">
      <w:pPr>
        <w:spacing w:line="600" w:lineRule="exact"/>
        <w:ind w:firstLine="4480" w:firstLineChars="1400"/>
        <w:rPr>
          <w:rFonts w:ascii="仿宋_GB2312" w:hAnsi="仿宋_GB2312" w:eastAsia="仿宋_GB2312" w:cs="仿宋_GB2312"/>
          <w:sz w:val="32"/>
          <w:szCs w:val="32"/>
        </w:rPr>
      </w:pPr>
    </w:p>
    <w:p w14:paraId="61AB7AA6">
      <w:pPr>
        <w:spacing w:line="600" w:lineRule="exact"/>
        <w:ind w:firstLine="4480" w:firstLineChars="1400"/>
        <w:rPr>
          <w:rFonts w:ascii="仿宋_GB2312" w:hAnsi="仿宋_GB2312" w:eastAsia="仿宋_GB2312" w:cs="仿宋_GB2312"/>
          <w:sz w:val="32"/>
          <w:szCs w:val="32"/>
        </w:rPr>
      </w:pPr>
    </w:p>
    <w:p w14:paraId="7A974822">
      <w:pPr>
        <w:spacing w:line="600" w:lineRule="exact"/>
        <w:ind w:firstLine="4480" w:firstLineChars="1400"/>
        <w:rPr>
          <w:rFonts w:ascii="仿宋_GB2312" w:hAnsi="仿宋_GB2312" w:eastAsia="仿宋_GB2312" w:cs="仿宋_GB2312"/>
          <w:sz w:val="32"/>
          <w:szCs w:val="32"/>
        </w:rPr>
      </w:pPr>
    </w:p>
    <w:p w14:paraId="7453F35B">
      <w:pPr>
        <w:spacing w:line="600" w:lineRule="exact"/>
        <w:ind w:firstLine="4480" w:firstLineChars="1400"/>
        <w:rPr>
          <w:rFonts w:ascii="仿宋_GB2312" w:hAnsi="仿宋_GB2312" w:eastAsia="仿宋_GB2312" w:cs="仿宋_GB2312"/>
          <w:sz w:val="32"/>
          <w:szCs w:val="32"/>
        </w:rPr>
      </w:pPr>
    </w:p>
    <w:p w14:paraId="7D05997A">
      <w:pPr>
        <w:spacing w:line="600" w:lineRule="exact"/>
        <w:ind w:firstLine="4480" w:firstLineChars="1400"/>
        <w:rPr>
          <w:rFonts w:ascii="仿宋_GB2312" w:hAnsi="仿宋_GB2312" w:eastAsia="仿宋_GB2312" w:cs="仿宋_GB2312"/>
          <w:sz w:val="32"/>
          <w:szCs w:val="32"/>
        </w:rPr>
      </w:pPr>
    </w:p>
    <w:p w14:paraId="021BF399">
      <w:pPr>
        <w:spacing w:line="600" w:lineRule="exact"/>
        <w:ind w:firstLine="4480" w:firstLineChars="1400"/>
        <w:rPr>
          <w:rFonts w:ascii="仿宋_GB2312" w:hAnsi="仿宋_GB2312" w:eastAsia="仿宋_GB2312" w:cs="仿宋_GB2312"/>
          <w:sz w:val="32"/>
          <w:szCs w:val="32"/>
        </w:rPr>
      </w:pPr>
    </w:p>
    <w:p w14:paraId="0640B717">
      <w:pPr>
        <w:spacing w:line="600" w:lineRule="exact"/>
        <w:ind w:firstLine="4480" w:firstLineChars="1400"/>
        <w:rPr>
          <w:rFonts w:ascii="仿宋_GB2312" w:hAnsi="仿宋_GB2312" w:eastAsia="仿宋_GB2312" w:cs="仿宋_GB2312"/>
          <w:sz w:val="32"/>
          <w:szCs w:val="32"/>
        </w:rPr>
      </w:pPr>
    </w:p>
    <w:p w14:paraId="414E3849">
      <w:pPr>
        <w:spacing w:line="600" w:lineRule="exact"/>
        <w:ind w:firstLine="4480" w:firstLineChars="1400"/>
        <w:rPr>
          <w:rFonts w:ascii="仿宋_GB2312" w:hAnsi="仿宋_GB2312" w:eastAsia="仿宋_GB2312" w:cs="仿宋_GB2312"/>
          <w:sz w:val="32"/>
          <w:szCs w:val="32"/>
        </w:rPr>
      </w:pPr>
    </w:p>
    <w:p w14:paraId="4D270F1E">
      <w:pPr>
        <w:spacing w:line="600" w:lineRule="exact"/>
        <w:rPr>
          <w:rFonts w:ascii="仿宋_GB2312" w:hAnsi="仿宋_GB2312" w:eastAsia="仿宋_GB2312" w:cs="仿宋_GB2312"/>
          <w:sz w:val="32"/>
          <w:szCs w:val="32"/>
        </w:rPr>
      </w:pPr>
    </w:p>
    <w:p w14:paraId="2E775B0A">
      <w:pPr>
        <w:spacing w:line="600" w:lineRule="exact"/>
        <w:rPr>
          <w:rFonts w:ascii="仿宋_GB2312" w:hAnsi="仿宋_GB2312" w:eastAsia="仿宋_GB2312" w:cs="仿宋_GB2312"/>
          <w:sz w:val="32"/>
          <w:szCs w:val="32"/>
        </w:rPr>
      </w:pPr>
    </w:p>
    <w:p w14:paraId="5AD008E3">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FF2E567">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2E9C0936">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03C5699">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_GB2312" w:hAnsi="仿宋_GB2312" w:eastAsia="仿宋_GB2312" w:cs="仿宋_GB2312"/>
          <w:sz w:val="32"/>
          <w:szCs w:val="32"/>
        </w:rPr>
      </w:pPr>
    </w:p>
    <w:p w14:paraId="3DEE7B38">
      <w:pPr>
        <w:pStyle w:val="5"/>
        <w:rPr>
          <w:rFonts w:ascii="仿宋_GB2312" w:hAnsi="仿宋_GB2312" w:eastAsia="仿宋_GB2312" w:cs="仿宋_GB2312"/>
          <w:sz w:val="32"/>
          <w:szCs w:val="32"/>
        </w:rPr>
      </w:pPr>
    </w:p>
    <w:p w14:paraId="351CF4A8">
      <w:pPr>
        <w:pStyle w:val="5"/>
        <w:rPr>
          <w:rFonts w:ascii="仿宋_GB2312" w:hAnsi="仿宋_GB2312" w:eastAsia="仿宋_GB2312" w:cs="仿宋_GB2312"/>
          <w:sz w:val="32"/>
          <w:szCs w:val="32"/>
        </w:rPr>
      </w:pPr>
    </w:p>
    <w:p w14:paraId="3AC77F7E">
      <w:pPr>
        <w:pStyle w:val="5"/>
        <w:rPr>
          <w:rFonts w:ascii="仿宋_GB2312" w:hAnsi="仿宋_GB2312" w:eastAsia="仿宋_GB2312" w:cs="仿宋_GB2312"/>
          <w:sz w:val="32"/>
          <w:szCs w:val="32"/>
        </w:rPr>
      </w:pPr>
    </w:p>
    <w:p w14:paraId="60C851E1">
      <w:pPr>
        <w:pStyle w:val="5"/>
        <w:rPr>
          <w:rFonts w:ascii="仿宋_GB2312" w:hAnsi="仿宋_GB2312" w:eastAsia="仿宋_GB2312" w:cs="仿宋_GB2312"/>
          <w:sz w:val="32"/>
          <w:szCs w:val="32"/>
        </w:rPr>
      </w:pPr>
    </w:p>
    <w:p w14:paraId="7C75018F">
      <w:pPr>
        <w:pStyle w:val="5"/>
        <w:rPr>
          <w:rFonts w:ascii="仿宋_GB2312" w:hAnsi="仿宋_GB2312" w:eastAsia="仿宋_GB2312" w:cs="仿宋_GB2312"/>
          <w:sz w:val="32"/>
          <w:szCs w:val="32"/>
        </w:rPr>
      </w:pPr>
    </w:p>
    <w:p w14:paraId="1352AD94">
      <w:pPr>
        <w:pStyle w:val="5"/>
        <w:rPr>
          <w:rFonts w:ascii="仿宋_GB2312" w:hAnsi="仿宋_GB2312" w:eastAsia="仿宋_GB2312" w:cs="仿宋_GB2312"/>
          <w:sz w:val="32"/>
          <w:szCs w:val="32"/>
        </w:rPr>
      </w:pPr>
    </w:p>
    <w:p w14:paraId="2E472977">
      <w:pPr>
        <w:pStyle w:val="5"/>
        <w:rPr>
          <w:rFonts w:ascii="仿宋_GB2312" w:hAnsi="仿宋_GB2312" w:eastAsia="仿宋_GB2312" w:cs="仿宋_GB2312"/>
          <w:sz w:val="32"/>
          <w:szCs w:val="32"/>
        </w:rPr>
      </w:pPr>
    </w:p>
    <w:p w14:paraId="7D14F29F">
      <w:pPr>
        <w:pStyle w:val="5"/>
        <w:rPr>
          <w:rFonts w:ascii="仿宋_GB2312" w:hAnsi="仿宋_GB2312" w:eastAsia="仿宋_GB2312" w:cs="仿宋_GB2312"/>
          <w:sz w:val="32"/>
          <w:szCs w:val="32"/>
        </w:rPr>
      </w:pPr>
    </w:p>
    <w:p w14:paraId="1C1C5CAE">
      <w:pPr>
        <w:pStyle w:val="5"/>
        <w:rPr>
          <w:rFonts w:ascii="仿宋_GB2312" w:hAnsi="仿宋_GB2312" w:eastAsia="仿宋_GB2312" w:cs="仿宋_GB2312"/>
          <w:sz w:val="32"/>
          <w:szCs w:val="32"/>
        </w:rPr>
      </w:pPr>
    </w:p>
    <w:p w14:paraId="3C67E80A">
      <w:pPr>
        <w:pBdr>
          <w:top w:val="single" w:color="auto" w:sz="6" w:space="0"/>
          <w:bottom w:val="single" w:color="auto" w:sz="6" w:space="1"/>
        </w:pBdr>
        <w:tabs>
          <w:tab w:val="left" w:pos="1800"/>
          <w:tab w:val="left" w:pos="1980"/>
        </w:tabs>
        <w:spacing w:line="560" w:lineRule="exact"/>
        <w:ind w:firstLine="280" w:firstLineChars="100"/>
        <w:rPr>
          <w:rFonts w:ascii="仿宋_GB2312" w:hAnsi="仿宋_GB2312" w:eastAsia="仿宋_GB2312" w:cs="仿宋_GB2312"/>
          <w:sz w:val="28"/>
          <w:szCs w:val="28"/>
        </w:rPr>
      </w:pPr>
      <w:r>
        <w:rPr>
          <w:rFonts w:hint="eastAsia" w:ascii="仿宋_GB2312" w:hAnsi="仿宋_GB2312" w:eastAsia="仿宋_GB2312" w:cs="仿宋_GB2312"/>
          <w:bCs/>
          <w:sz w:val="28"/>
          <w:szCs w:val="28"/>
        </w:rPr>
        <w:t xml:space="preserve">随州市曾都区水利和湖泊局办公室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2026年</w:t>
      </w:r>
      <w:r>
        <w:rPr>
          <w:rFonts w:hint="eastAsia" w:ascii="仿宋_GB2312" w:hAnsi="仿宋_GB2312" w:eastAsia="仿宋_GB2312" w:cs="仿宋_GB2312"/>
          <w:bCs/>
          <w:sz w:val="28"/>
          <w:szCs w:val="28"/>
          <w:lang w:val="en-US" w:eastAsia="zh-CN"/>
        </w:rPr>
        <w:t>2</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10</w:t>
      </w:r>
      <w:r>
        <w:rPr>
          <w:rFonts w:hint="eastAsia" w:ascii="仿宋_GB2312" w:hAnsi="仿宋_GB2312" w:eastAsia="仿宋_GB2312" w:cs="仿宋_GB2312"/>
          <w:bCs/>
          <w:sz w:val="28"/>
          <w:szCs w:val="28"/>
        </w:rPr>
        <w:t xml:space="preserve">日印发 </w:t>
      </w:r>
    </w:p>
    <w:sectPr>
      <w:pgSz w:w="11906" w:h="16838"/>
      <w:pgMar w:top="1440" w:right="1800" w:bottom="1440" w:left="1800"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394380-CF2E-4A98-97D4-3F45C02439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EBEC3FE-66B0-42D8-88C0-38E31AC6AAD7}"/>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4B49037B-3CB0-4158-B6D6-3A69B59C12C3}"/>
  </w:font>
  <w:font w:name="方正小标宋简体">
    <w:panose1 w:val="03000509000000000000"/>
    <w:charset w:val="86"/>
    <w:family w:val="auto"/>
    <w:pitch w:val="default"/>
    <w:sig w:usb0="00000001" w:usb1="080E0000" w:usb2="00000000" w:usb3="00000000" w:csb0="00040000" w:csb1="00000000"/>
    <w:embedRegular r:id="rId4" w:fontKey="{FAD435D3-0D69-4CAE-9153-8A8ECC4F89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1YTIxYjU5MzhiYzdjMzZjYjdhOTQxZDVjNWYzN2EifQ=="/>
  </w:docVars>
  <w:rsids>
    <w:rsidRoot w:val="00F90717"/>
    <w:rsid w:val="001324DB"/>
    <w:rsid w:val="00162A52"/>
    <w:rsid w:val="0017241C"/>
    <w:rsid w:val="001962CC"/>
    <w:rsid w:val="00286921"/>
    <w:rsid w:val="0042289C"/>
    <w:rsid w:val="00492F82"/>
    <w:rsid w:val="005F35EC"/>
    <w:rsid w:val="0061088F"/>
    <w:rsid w:val="0087008D"/>
    <w:rsid w:val="008D111C"/>
    <w:rsid w:val="008F1BE1"/>
    <w:rsid w:val="00942F15"/>
    <w:rsid w:val="00B02E7A"/>
    <w:rsid w:val="00B6410C"/>
    <w:rsid w:val="00B658F3"/>
    <w:rsid w:val="00B86C58"/>
    <w:rsid w:val="00B94CD2"/>
    <w:rsid w:val="00BD3C88"/>
    <w:rsid w:val="00C24AB7"/>
    <w:rsid w:val="00C461F2"/>
    <w:rsid w:val="00D900F2"/>
    <w:rsid w:val="00DA64C6"/>
    <w:rsid w:val="00DF077F"/>
    <w:rsid w:val="00E2662A"/>
    <w:rsid w:val="00E650D8"/>
    <w:rsid w:val="00F34B37"/>
    <w:rsid w:val="00F90717"/>
    <w:rsid w:val="00FA6C59"/>
    <w:rsid w:val="01A3582E"/>
    <w:rsid w:val="03A85455"/>
    <w:rsid w:val="04352076"/>
    <w:rsid w:val="04D72BD5"/>
    <w:rsid w:val="08D45D89"/>
    <w:rsid w:val="0A38348D"/>
    <w:rsid w:val="0A4F57C0"/>
    <w:rsid w:val="0B1316BA"/>
    <w:rsid w:val="0B737AD1"/>
    <w:rsid w:val="0CD028DF"/>
    <w:rsid w:val="0D4B4FD6"/>
    <w:rsid w:val="0E44713D"/>
    <w:rsid w:val="0F1A3753"/>
    <w:rsid w:val="13D8531B"/>
    <w:rsid w:val="14230555"/>
    <w:rsid w:val="14A84152"/>
    <w:rsid w:val="160475A2"/>
    <w:rsid w:val="181C5557"/>
    <w:rsid w:val="189B48BF"/>
    <w:rsid w:val="1A310B82"/>
    <w:rsid w:val="1BE069CA"/>
    <w:rsid w:val="1CE529F5"/>
    <w:rsid w:val="1D6F4D74"/>
    <w:rsid w:val="1D7F6978"/>
    <w:rsid w:val="22196554"/>
    <w:rsid w:val="22AF59F3"/>
    <w:rsid w:val="23A107E5"/>
    <w:rsid w:val="241C75F2"/>
    <w:rsid w:val="25AB4F81"/>
    <w:rsid w:val="2826784C"/>
    <w:rsid w:val="28AF6CCE"/>
    <w:rsid w:val="28B60BD0"/>
    <w:rsid w:val="29E71BFB"/>
    <w:rsid w:val="2AB752E1"/>
    <w:rsid w:val="2BD4694A"/>
    <w:rsid w:val="2D8656FF"/>
    <w:rsid w:val="2E7B0E69"/>
    <w:rsid w:val="2EBB2194"/>
    <w:rsid w:val="308570DA"/>
    <w:rsid w:val="314E3D74"/>
    <w:rsid w:val="31B22151"/>
    <w:rsid w:val="328F68FE"/>
    <w:rsid w:val="33945FB2"/>
    <w:rsid w:val="33E23990"/>
    <w:rsid w:val="342A06C4"/>
    <w:rsid w:val="34E16FD5"/>
    <w:rsid w:val="35D5640E"/>
    <w:rsid w:val="36307922"/>
    <w:rsid w:val="366F14EB"/>
    <w:rsid w:val="367E499B"/>
    <w:rsid w:val="36B96CD0"/>
    <w:rsid w:val="37103EE5"/>
    <w:rsid w:val="37504CCE"/>
    <w:rsid w:val="3B341131"/>
    <w:rsid w:val="3DC00139"/>
    <w:rsid w:val="3FC5146B"/>
    <w:rsid w:val="3FE9623A"/>
    <w:rsid w:val="40C12E5A"/>
    <w:rsid w:val="43220826"/>
    <w:rsid w:val="43407B62"/>
    <w:rsid w:val="44A1408B"/>
    <w:rsid w:val="44B33DBE"/>
    <w:rsid w:val="465B2048"/>
    <w:rsid w:val="46E3355B"/>
    <w:rsid w:val="475B669D"/>
    <w:rsid w:val="48531B40"/>
    <w:rsid w:val="485576F0"/>
    <w:rsid w:val="492B471A"/>
    <w:rsid w:val="496D2C05"/>
    <w:rsid w:val="49A8693D"/>
    <w:rsid w:val="4A192D1E"/>
    <w:rsid w:val="4ACA50C0"/>
    <w:rsid w:val="4B28487E"/>
    <w:rsid w:val="4B4F6860"/>
    <w:rsid w:val="4C1E4723"/>
    <w:rsid w:val="4CF77C53"/>
    <w:rsid w:val="4D285E17"/>
    <w:rsid w:val="4E3D2C12"/>
    <w:rsid w:val="4E551CA6"/>
    <w:rsid w:val="4ED80DF5"/>
    <w:rsid w:val="510164F4"/>
    <w:rsid w:val="52845AE0"/>
    <w:rsid w:val="5325232B"/>
    <w:rsid w:val="533B7DA0"/>
    <w:rsid w:val="548A4B3B"/>
    <w:rsid w:val="56AB1F34"/>
    <w:rsid w:val="57B27F05"/>
    <w:rsid w:val="57B87F84"/>
    <w:rsid w:val="58C53008"/>
    <w:rsid w:val="597A2012"/>
    <w:rsid w:val="59F441E9"/>
    <w:rsid w:val="5AF727FF"/>
    <w:rsid w:val="5B4236BA"/>
    <w:rsid w:val="5BDD305A"/>
    <w:rsid w:val="5D1A0BEE"/>
    <w:rsid w:val="5E7D2194"/>
    <w:rsid w:val="5F9250A3"/>
    <w:rsid w:val="5FA323DD"/>
    <w:rsid w:val="614F45A5"/>
    <w:rsid w:val="616E3BA4"/>
    <w:rsid w:val="639808F7"/>
    <w:rsid w:val="65EA5BC3"/>
    <w:rsid w:val="66383744"/>
    <w:rsid w:val="672B61CF"/>
    <w:rsid w:val="68595D1F"/>
    <w:rsid w:val="695E04AE"/>
    <w:rsid w:val="69B226F6"/>
    <w:rsid w:val="6B3F5380"/>
    <w:rsid w:val="6DEF2517"/>
    <w:rsid w:val="6F075D10"/>
    <w:rsid w:val="6F0D77B6"/>
    <w:rsid w:val="71AE4F9C"/>
    <w:rsid w:val="720E0E98"/>
    <w:rsid w:val="752D7D64"/>
    <w:rsid w:val="755D611A"/>
    <w:rsid w:val="75D528E1"/>
    <w:rsid w:val="76AF149A"/>
    <w:rsid w:val="77405921"/>
    <w:rsid w:val="77D445A5"/>
    <w:rsid w:val="78671BF8"/>
    <w:rsid w:val="7A622507"/>
    <w:rsid w:val="7AB07D30"/>
    <w:rsid w:val="7AF20495"/>
    <w:rsid w:val="7B0909D0"/>
    <w:rsid w:val="7B716095"/>
    <w:rsid w:val="7C050B07"/>
    <w:rsid w:val="7CF60710"/>
    <w:rsid w:val="7D220208"/>
    <w:rsid w:val="7D4165A6"/>
    <w:rsid w:val="7D436ECD"/>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djustRightInd w:val="0"/>
      <w:spacing w:line="480" w:lineRule="auto"/>
      <w:textAlignment w:val="baseline"/>
      <w:outlineLvl w:val="1"/>
    </w:pPr>
    <w:rPr>
      <w:rFonts w:eastAsia="黑体"/>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sz w:val="24"/>
      <w:szCs w:val="20"/>
    </w:rPr>
  </w:style>
  <w:style w:type="paragraph" w:styleId="5">
    <w:name w:val="Body Text"/>
    <w:basedOn w:val="1"/>
    <w:qFormat/>
    <w:uiPriority w:val="1"/>
    <w:rPr>
      <w:rFonts w:ascii="仿宋" w:hAnsi="仿宋" w:eastAsia="仿宋" w:cs="仿宋"/>
      <w:b/>
      <w:bCs/>
      <w:sz w:val="28"/>
      <w:szCs w:val="28"/>
    </w:rPr>
  </w:style>
  <w:style w:type="paragraph" w:styleId="6">
    <w:name w:val="Body Text Indent"/>
    <w:basedOn w:val="1"/>
    <w:qFormat/>
    <w:uiPriority w:val="0"/>
    <w:pPr>
      <w:spacing w:after="120"/>
      <w:ind w:left="420" w:leftChars="200"/>
    </w:pPr>
  </w:style>
  <w:style w:type="paragraph" w:styleId="7">
    <w:name w:val="Date"/>
    <w:basedOn w:val="1"/>
    <w:next w:val="1"/>
    <w:link w:val="14"/>
    <w:qFormat/>
    <w:uiPriority w:val="0"/>
    <w:pPr>
      <w:ind w:left="100" w:leftChars="2500"/>
    </w:pPr>
  </w:style>
  <w:style w:type="paragraph" w:styleId="8">
    <w:name w:val="Balloon Text"/>
    <w:basedOn w:val="1"/>
    <w:link w:val="17"/>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next w:val="1"/>
    <w:semiHidden/>
    <w:qFormat/>
    <w:uiPriority w:val="99"/>
    <w:pPr>
      <w:tabs>
        <w:tab w:val="left" w:pos="180"/>
        <w:tab w:val="left" w:pos="840"/>
        <w:tab w:val="right" w:pos="8820"/>
      </w:tabs>
      <w:spacing w:after="0"/>
      <w:ind w:left="0" w:leftChars="0" w:firstLine="521" w:firstLineChars="175"/>
    </w:pPr>
    <w:rPr>
      <w:rFonts w:ascii="仿宋_GB2312" w:hAnsi="宋体" w:eastAsia="仿宋_GB2312"/>
      <w:sz w:val="28"/>
    </w:rPr>
  </w:style>
  <w:style w:type="character" w:customStyle="1" w:styleId="14">
    <w:name w:val="日期 字符"/>
    <w:basedOn w:val="13"/>
    <w:link w:val="7"/>
    <w:qFormat/>
    <w:uiPriority w:val="0"/>
    <w:rPr>
      <w:kern w:val="2"/>
      <w:sz w:val="21"/>
      <w:szCs w:val="24"/>
    </w:rPr>
  </w:style>
  <w:style w:type="character" w:customStyle="1" w:styleId="15">
    <w:name w:val="页眉 字符"/>
    <w:basedOn w:val="13"/>
    <w:link w:val="10"/>
    <w:qFormat/>
    <w:uiPriority w:val="0"/>
    <w:rPr>
      <w:kern w:val="2"/>
      <w:sz w:val="18"/>
      <w:szCs w:val="18"/>
    </w:rPr>
  </w:style>
  <w:style w:type="character" w:customStyle="1" w:styleId="16">
    <w:name w:val="页脚 字符"/>
    <w:basedOn w:val="13"/>
    <w:link w:val="9"/>
    <w:qFormat/>
    <w:uiPriority w:val="0"/>
    <w:rPr>
      <w:kern w:val="2"/>
      <w:sz w:val="18"/>
      <w:szCs w:val="18"/>
    </w:rPr>
  </w:style>
  <w:style w:type="character" w:customStyle="1" w:styleId="17">
    <w:name w:val="批注框文本 字符"/>
    <w:basedOn w:val="13"/>
    <w:link w:val="8"/>
    <w:qFormat/>
    <w:uiPriority w:val="0"/>
    <w:rPr>
      <w:kern w:val="2"/>
      <w:sz w:val="18"/>
      <w:szCs w:val="18"/>
    </w:rPr>
  </w:style>
  <w:style w:type="paragraph" w:customStyle="1" w:styleId="18">
    <w:name w:val="报告正文"/>
    <w:basedOn w:val="1"/>
    <w:qFormat/>
    <w:uiPriority w:val="0"/>
    <w:pPr>
      <w:spacing w:line="490" w:lineRule="exact"/>
    </w:pPr>
    <w:rPr>
      <w:rFonts w:eastAsia="宋体"/>
    </w:rPr>
  </w:style>
  <w:style w:type="paragraph" w:styleId="1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6f07049f-0c9d-43e2-acf0-1438fc496001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6334CC5C</paraID>
      <start>63</start>
      <end>64</end>
      <status>modified</status>
      <modifiedWord>—</modifiedWord>
      <trackRevisions>false</trackRevisions>
    </reviewItem>
    <reviewItem>
      <errorID>1e5a6396-45a5-44fc-98fb-f63e21d39457</errorID>
      <errorWord>道理</errorWord>
      <group>L1_Word</group>
      <groupName>字词问题</groupName>
      <ability>L2_Typo</ability>
      <abilityName>字词错误</abilityName>
      <candidateList>
        <item>道</item>
      </candidateList>
      <explain>❶说：～白｜能说会～｜一语～破。❷用语言表示（情意）：～喜｜～歉｜～谢。❸〈动〉说（跟文言“曰”相当，多见于早期白话）。❹〈动〉以为；认为：我～是谁呢，原来是你。</explain>
      <paraID>3A1642DF</paraID>
      <start>19</start>
      <end>20</end>
      <status>modified</status>
      <modifiedWord>道</modifiedWord>
      <trackRevisions>false</trackRevisions>
    </reviewItem>
    <reviewItem>
      <errorID>2d116332-b2dd-47d2-a359-e8b231ee5950</errorID>
      <errorWord>保护</errorWord>
      <group>L1_Grammar</group>
      <groupName>语法问题</groupName>
      <ability>L2_Grammar</ability>
      <abilityName>语法错误</abilityName>
      <candidateList>
        <item>维护</item>
      </candidateList>
      <explain>“保护～稳定”搭配不当，建议修改为“维护～稳定”。</explain>
      <paraID>5B7620C1</paraID>
      <start>45</start>
      <end>47</end>
      <status>ignored</status>
      <modifiedWord/>
      <trackRevisions>false</trackRevisions>
    </reviewItem>
  </reviewItems>
  <config/>
</contractReview>
</file>

<file path=customXml/itemProps1.xml><?xml version="1.0" encoding="utf-8"?>
<ds:datastoreItem xmlns:ds="http://schemas.openxmlformats.org/officeDocument/2006/customXml" ds:itemID="{f14bd76d-7edc-4621-90d3-38bdb99311a4}">
  <ds:schemaRefs/>
</ds:datastoreItem>
</file>

<file path=docProps/app.xml><?xml version="1.0" encoding="utf-8"?>
<Properties xmlns="http://schemas.openxmlformats.org/officeDocument/2006/extended-properties" xmlns:vt="http://schemas.openxmlformats.org/officeDocument/2006/docPropsVTypes">
  <Template>Normal</Template>
  <Company>KH computer</Company>
  <Pages>4</Pages>
  <Words>1117</Words>
  <Characters>1242</Characters>
  <Lines>9</Lines>
  <Paragraphs>2</Paragraphs>
  <TotalTime>0</TotalTime>
  <ScaleCrop>false</ScaleCrop>
  <LinksUpToDate>false</LinksUpToDate>
  <CharactersWithSpaces>1249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2023-03-27T02:10:00Z</dcterms:created>
  <dc:creator>Administrator</dc:creator>
  <cp:lastModifiedBy>果真不打烊</cp:lastModifiedBy>
  <cp:lastPrinted>2026-02-09T08:42:00Z</cp:lastPrinted>
  <dcterms:modified xsi:type="dcterms:W3CDTF">2026-02-10T01:38:10Z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438F0DB1D0784D67AEF21C747B851BD0_13</vt:lpwstr>
  </property>
  <property fmtid="{D5CDD505-2E9C-101B-9397-08002B2CF9AE}" pid="4" name="KSOTemplateDocerSaveRecord">
    <vt:lpwstr>eyJoZGlkIjoiYWUwZmJlMDMyNTY5NjgxOGU0Y2M5MmQ0N2JhZGY3ZDMiLCJ1c2VySWQiOiI1MTA2NTI0MTcifQ==</vt:lpwstr>
  </property>
</Properties>
</file>