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rFonts w:ascii="宋体" w:hAnsi="宋体" w:eastAsia="宋体" w:cs="宋体"/>
          <w:b/>
          <w:bCs/>
          <w:sz w:val="44"/>
          <w:szCs w:val="44"/>
        </w:rPr>
      </w:pPr>
    </w:p>
    <w:p>
      <w:pPr>
        <w:ind w:firstLine="883"/>
        <w:jc w:val="center"/>
        <w:rPr>
          <w:rFonts w:ascii="宋体" w:hAnsi="宋体" w:eastAsia="宋体" w:cs="宋体"/>
          <w:b/>
          <w:bCs/>
          <w:sz w:val="44"/>
          <w:szCs w:val="44"/>
        </w:rPr>
      </w:pPr>
    </w:p>
    <w:p>
      <w:pPr>
        <w:ind w:firstLine="883"/>
        <w:jc w:val="center"/>
        <w:rPr>
          <w:rFonts w:ascii="宋体" w:hAnsi="宋体" w:eastAsia="宋体" w:cs="宋体"/>
          <w:b/>
          <w:bCs/>
          <w:sz w:val="44"/>
          <w:szCs w:val="44"/>
        </w:rPr>
      </w:pPr>
    </w:p>
    <w:p>
      <w:pPr>
        <w:ind w:firstLine="883"/>
        <w:jc w:val="center"/>
        <w:rPr>
          <w:rFonts w:ascii="宋体" w:hAnsi="宋体" w:eastAsia="宋体" w:cs="宋体"/>
          <w:b/>
          <w:bCs/>
          <w:sz w:val="44"/>
          <w:szCs w:val="44"/>
        </w:rPr>
      </w:pPr>
    </w:p>
    <w:p>
      <w:pPr>
        <w:ind w:firstLine="883"/>
        <w:jc w:val="center"/>
        <w:rPr>
          <w:rFonts w:ascii="宋体" w:hAnsi="宋体" w:eastAsia="宋体" w:cs="宋体"/>
          <w:b/>
          <w:bCs/>
          <w:sz w:val="44"/>
          <w:szCs w:val="44"/>
        </w:rPr>
      </w:pPr>
    </w:p>
    <w:p>
      <w:pPr>
        <w:ind w:firstLine="201"/>
        <w:jc w:val="center"/>
        <w:rPr>
          <w:rFonts w:ascii="宋体" w:hAnsi="宋体" w:eastAsia="宋体" w:cs="宋体"/>
          <w:b/>
          <w:bCs/>
          <w:sz w:val="10"/>
          <w:szCs w:val="10"/>
        </w:rPr>
      </w:pPr>
    </w:p>
    <w:p>
      <w:pPr>
        <w:ind w:firstLine="201"/>
        <w:jc w:val="center"/>
        <w:rPr>
          <w:rFonts w:ascii="宋体" w:hAnsi="宋体" w:eastAsia="宋体" w:cs="宋体"/>
          <w:b/>
          <w:bCs/>
          <w:sz w:val="10"/>
          <w:szCs w:val="10"/>
        </w:rPr>
      </w:pPr>
    </w:p>
    <w:p>
      <w:pPr>
        <w:ind w:firstLine="201"/>
        <w:jc w:val="center"/>
        <w:rPr>
          <w:rFonts w:ascii="宋体" w:hAnsi="宋体" w:eastAsia="宋体" w:cs="宋体"/>
          <w:b/>
          <w:bCs/>
          <w:sz w:val="10"/>
          <w:szCs w:val="10"/>
        </w:rPr>
      </w:pPr>
    </w:p>
    <w:p>
      <w:pPr>
        <w:spacing w:line="640" w:lineRule="exact"/>
        <w:ind w:firstLine="640"/>
        <w:jc w:val="center"/>
        <w:rPr>
          <w:rFonts w:ascii="宋体" w:hAnsi="宋体" w:eastAsia="宋体" w:cs="宋体"/>
          <w:b/>
          <w:bCs/>
          <w:sz w:val="44"/>
          <w:szCs w:val="44"/>
        </w:rPr>
      </w:pPr>
      <w:r>
        <w:rPr>
          <w:rFonts w:hint="eastAsia" w:ascii="仿宋_GB2312" w:hAnsi="仿宋_GB2312" w:eastAsia="仿宋_GB2312" w:cs="仿宋_GB2312"/>
          <w:sz w:val="32"/>
          <w:szCs w:val="32"/>
        </w:rPr>
        <w:t>曾商〔2024〕6号</w:t>
      </w:r>
    </w:p>
    <w:p>
      <w:pPr>
        <w:ind w:firstLine="720"/>
        <w:jc w:val="center"/>
        <w:rPr>
          <w:rFonts w:ascii="方正小标宋简体" w:hAnsi="方正小标宋简体" w:eastAsia="方正小标宋简体" w:cs="方正小标宋简体"/>
          <w:sz w:val="36"/>
          <w:szCs w:val="36"/>
        </w:rPr>
      </w:pPr>
    </w:p>
    <w:p>
      <w:pPr>
        <w:spacing w:after="100" w:afterAutospacing="1" w:line="520" w:lineRule="exact"/>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关于印发《</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年全区商务工作要点</w:t>
      </w:r>
      <w:r>
        <w:rPr>
          <w:rFonts w:hint="eastAsia" w:ascii="方正小标宋简体" w:eastAsia="方正小标宋简体"/>
          <w:sz w:val="44"/>
          <w:szCs w:val="44"/>
        </w:rPr>
        <w:t>》的</w:t>
      </w:r>
    </w:p>
    <w:p>
      <w:pPr>
        <w:spacing w:after="100" w:afterAutospacing="1" w:line="520" w:lineRule="exact"/>
        <w:ind w:firstLine="880"/>
        <w:jc w:val="center"/>
        <w:rPr>
          <w:rFonts w:hint="eastAsia" w:ascii="方正小标宋简体" w:eastAsia="方正小标宋简体"/>
          <w:sz w:val="44"/>
          <w:szCs w:val="44"/>
        </w:rPr>
      </w:pPr>
      <w:r>
        <w:rPr>
          <w:rFonts w:hint="eastAsia" w:ascii="方正小标宋简体" w:eastAsia="方正小标宋简体"/>
          <w:sz w:val="44"/>
          <w:szCs w:val="44"/>
        </w:rPr>
        <w:t>通知</w:t>
      </w:r>
    </w:p>
    <w:p>
      <w:pPr>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各镇人民政府、街道办事处、经济开发区管委会，区直各部门，局机关各股、室、商贸服务中心：</w:t>
      </w:r>
    </w:p>
    <w:p>
      <w:pPr>
        <w:pStyle w:val="2"/>
        <w:spacing w:line="600" w:lineRule="exact"/>
        <w:ind w:firstLine="640"/>
        <w:rPr>
          <w:rFonts w:hint="eastAsia"/>
        </w:rPr>
      </w:pPr>
      <w:r>
        <w:rPr>
          <w:rFonts w:hint="eastAsia" w:ascii="仿宋_GB2312" w:hAnsi="仿宋_GB2312" w:eastAsia="仿宋_GB2312" w:cs="仿宋_GB2312"/>
          <w:sz w:val="32"/>
          <w:szCs w:val="32"/>
        </w:rPr>
        <w:t>现将《2024年全区商务工作要点》印发给你们，请结合实际认真贯彻落实。</w:t>
      </w:r>
    </w:p>
    <w:p>
      <w:pPr>
        <w:pStyle w:val="2"/>
        <w:ind w:firstLine="880"/>
        <w:rPr>
          <w:rFonts w:ascii="方正小标宋简体" w:hAnsi="方正小标宋简体" w:eastAsia="方正小标宋简体" w:cs="方正小标宋简体"/>
          <w:sz w:val="44"/>
          <w:szCs w:val="44"/>
        </w:rPr>
      </w:pPr>
    </w:p>
    <w:p>
      <w:pPr>
        <w:pStyle w:val="2"/>
        <w:ind w:firstLine="880"/>
        <w:rPr>
          <w:rFonts w:ascii="方正小标宋简体" w:hAnsi="方正小标宋简体" w:eastAsia="方正小标宋简体" w:cs="方正小标宋简体"/>
          <w:sz w:val="44"/>
          <w:szCs w:val="44"/>
        </w:rPr>
      </w:pPr>
    </w:p>
    <w:p>
      <w:pPr>
        <w:pStyle w:val="9"/>
        <w:spacing w:line="640" w:lineRule="exact"/>
        <w:ind w:firstLine="640"/>
        <w:rPr>
          <w:rFonts w:hint="eastAsia" w:ascii="仿宋_GB2312" w:hAnsi="仿宋_GB2312" w:eastAsia="仿宋_GB2312" w:cs="仿宋_GB2312"/>
          <w:sz w:val="32"/>
          <w:szCs w:val="32"/>
        </w:rPr>
      </w:pP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sz w:val="32"/>
          <w:szCs w:val="32"/>
        </w:rPr>
        <w:t xml:space="preserve"> 曾都区商务局</w:t>
      </w:r>
    </w:p>
    <w:p>
      <w:pPr>
        <w:spacing w:line="640" w:lineRule="exact"/>
        <w:ind w:right="-105" w:rightChars="-50" w:firstLine="5120" w:firstLineChars="1600"/>
        <w:rPr>
          <w:rFonts w:hint="eastAsia" w:ascii="仿宋_GB2312" w:hAnsi="仿宋_GB2312" w:eastAsia="仿宋_GB2312" w:cs="仿宋_GB231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年3月6日</w:t>
      </w:r>
    </w:p>
    <w:p>
      <w:pPr>
        <w:widowControl/>
        <w:shd w:val="clear" w:color="auto" w:fill="FFFFFF"/>
        <w:ind w:firstLine="0" w:firstLineChars="0"/>
        <w:jc w:val="left"/>
        <w:rPr>
          <w:rFonts w:ascii="宋体" w:hAnsi="宋体" w:eastAsia="宋体" w:cs="宋体"/>
          <w:kern w:val="0"/>
          <w:sz w:val="32"/>
          <w:szCs w:val="32"/>
        </w:rPr>
      </w:pPr>
    </w:p>
    <w:p>
      <w:pPr>
        <w:widowControl/>
        <w:shd w:val="clear" w:color="auto" w:fill="FFFFFF"/>
        <w:spacing w:after="100" w:afterAutospacing="1"/>
        <w:ind w:firstLine="0" w:firstLineChars="0"/>
        <w:jc w:val="center"/>
        <w:rPr>
          <w:rFonts w:ascii="方正小标宋简体" w:hAnsi="方正小标宋简体" w:eastAsia="方正小标宋简体" w:cs="方正小标宋简体"/>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Autospacing="0" w:line="240" w:lineRule="auto"/>
        <w:ind w:firstLine="0" w:firstLineChars="0"/>
        <w:jc w:val="center"/>
        <w:textAlignment w:val="auto"/>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2024年全区商务工作要点</w:t>
      </w:r>
    </w:p>
    <w:p>
      <w:pPr>
        <w:widowControl/>
        <w:shd w:val="clear" w:color="auto" w:fill="FFFFFF"/>
        <w:spacing w:line="60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2024年是中华人民共和国成立75周年,是实施“十四五”规划的关键一年,做好全区商务经济工作至关重要。</w:t>
      </w:r>
    </w:p>
    <w:p>
      <w:pPr>
        <w:widowControl/>
        <w:shd w:val="clear" w:color="auto" w:fill="FFFFFF"/>
        <w:spacing w:line="600" w:lineRule="exact"/>
        <w:ind w:firstLine="64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一、总体要求</w:t>
      </w:r>
    </w:p>
    <w:p>
      <w:pPr>
        <w:widowControl/>
        <w:shd w:val="clear" w:color="auto" w:fill="FFFFFF"/>
        <w:spacing w:line="60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习近平新时代中国特色社会主义思想为指导，全面贯彻落实党的二十大和二十届二中全会精神，坚持稳中求进工作总基调，完整、准确、全面贯彻新发展理念，加快构建新发展格局，着力推动高质量发展，统筹扩大内需和深化供给侧结构性改革，持续促消费、稳外贸、扩外资，切实增强商务经济发展活力，持续推动商务经济实现质的有效提升和量的合理增长，为加快曾都四区建设作出贡献。</w:t>
      </w:r>
    </w:p>
    <w:p>
      <w:pPr>
        <w:widowControl/>
        <w:shd w:val="clear" w:color="auto" w:fill="FFFFFF"/>
        <w:spacing w:line="600" w:lineRule="exact"/>
        <w:ind w:firstLine="64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二、主要目标</w:t>
      </w:r>
    </w:p>
    <w:p>
      <w:pPr>
        <w:widowControl/>
        <w:shd w:val="clear" w:color="auto" w:fill="FFFFFF"/>
        <w:spacing w:line="60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2024年实现社会消费品零售总额增长9%以上，其中限额以上社会消费品零售额增长13%；外贸出口总额增长10%以上；实际利用外资600万美元以上；新增限上商贸企业60家，新增外贸出口实绩企业5家，年出口额1000万美元以上企业突破15家。</w:t>
      </w:r>
    </w:p>
    <w:p>
      <w:pPr>
        <w:widowControl/>
        <w:shd w:val="clear" w:color="auto" w:fill="FFFFFF"/>
        <w:spacing w:line="600" w:lineRule="exact"/>
        <w:ind w:firstLine="64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三、聚焦党的建设，筑牢发展基石</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1.抓党建促发展。</w:t>
      </w:r>
      <w:r>
        <w:rPr>
          <w:rFonts w:hint="eastAsia" w:ascii="仿宋_GB2312" w:hAnsi="仿宋_GB2312" w:eastAsia="仿宋_GB2312" w:cs="仿宋_GB2312"/>
          <w:kern w:val="0"/>
          <w:sz w:val="32"/>
          <w:szCs w:val="32"/>
        </w:rPr>
        <w:t>始终把政治建设摆在首位，坚持党建引领商务经济发展，持续巩固提升学习贯彻习近平新时代中国特色社会主义思想主题教育成果。</w:t>
      </w:r>
      <w:r>
        <w:rPr>
          <w:rFonts w:hint="eastAsia" w:ascii="仿宋_GB2312" w:hAnsi="仿宋_GB2312" w:eastAsia="仿宋_GB2312" w:cs="仿宋_GB2312"/>
          <w:sz w:val="32"/>
          <w:szCs w:val="32"/>
        </w:rPr>
        <w:t>扎实推进支部规范化建设，严格落实“三会一课”、主题党日等组织生活。</w:t>
      </w:r>
      <w:r>
        <w:rPr>
          <w:rFonts w:hint="eastAsia" w:ascii="仿宋_GB2312" w:hAnsi="仿宋_GB2312" w:eastAsia="仿宋_GB2312" w:cs="仿宋_GB2312"/>
          <w:kern w:val="0"/>
          <w:sz w:val="32"/>
          <w:szCs w:val="32"/>
        </w:rPr>
        <w:t>结合实际开展</w:t>
      </w:r>
      <w:r>
        <w:rPr>
          <w:rFonts w:hint="eastAsia" w:ascii="仿宋_GB2312" w:hAnsi="仿宋_GB2312" w:eastAsia="仿宋_GB2312" w:cs="仿宋_GB2312"/>
          <w:kern w:val="0"/>
          <w:sz w:val="32"/>
          <w:szCs w:val="32"/>
          <w:shd w:val="clear" w:color="auto" w:fill="FFFFFF"/>
        </w:rPr>
        <w:t>“三讲一转一提”特色党建活动，把2024年确定为“作风建设年”，开展作风大整顿行动，激励干部担当作为，提升服务态度和服务质量，牢固树立公仆意识、廉政意识、服务意识。</w:t>
      </w:r>
    </w:p>
    <w:p>
      <w:pPr>
        <w:widowControl/>
        <w:shd w:val="clear" w:color="auto" w:fill="FFFFFF"/>
        <w:spacing w:line="600" w:lineRule="exact"/>
        <w:ind w:left="-105" w:leftChars="-50" w:right="-105" w:rightChars="-50"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2.推进</w:t>
      </w:r>
      <w:r>
        <w:rPr>
          <w:rFonts w:hint="eastAsia" w:ascii="仿宋_GB2312" w:hAnsi="仿宋_GB2312" w:eastAsia="仿宋_GB2312" w:cs="仿宋_GB2312"/>
          <w:b/>
          <w:bCs/>
          <w:sz w:val="32"/>
          <w:szCs w:val="32"/>
          <w:lang w:val="en-US" w:eastAsia="zh-CN"/>
        </w:rPr>
        <w:t>全面</w:t>
      </w:r>
      <w:bookmarkStart w:id="0" w:name="_GoBack"/>
      <w:bookmarkEnd w:id="0"/>
      <w:r>
        <w:rPr>
          <w:rFonts w:hint="eastAsia" w:ascii="仿宋_GB2312" w:hAnsi="仿宋_GB2312" w:eastAsia="仿宋_GB2312" w:cs="仿宋_GB2312"/>
          <w:b/>
          <w:bCs/>
          <w:sz w:val="32"/>
          <w:szCs w:val="32"/>
        </w:rPr>
        <w:t>从严治党。</w:t>
      </w:r>
      <w:r>
        <w:rPr>
          <w:rFonts w:hint="eastAsia" w:ascii="仿宋_GB2312" w:hAnsi="仿宋_GB2312" w:eastAsia="仿宋_GB2312" w:cs="仿宋_GB2312"/>
          <w:sz w:val="32"/>
          <w:szCs w:val="32"/>
        </w:rPr>
        <w:t>认真落实《全面从严治党“两个责任”清单》，持续做好“纠四风”，把整治形式主义、官僚主义摆在突出位置，压紧压实主体责任。认真开展党内法规和国家法律学习教育，扎实开展党风廉政建设宣教月活动，认真落实“一岗双责”，常态化运用好“第一种形态”。全面落实意识形态工作责任制，盯紧重要阵地、重点领域、重大时间节点，筑牢意识形态安全防线。</w:t>
      </w:r>
    </w:p>
    <w:p>
      <w:pPr>
        <w:widowControl/>
        <w:shd w:val="clear" w:color="auto" w:fill="FFFFFF"/>
        <w:spacing w:line="600" w:lineRule="exact"/>
        <w:ind w:left="-105" w:leftChars="-50" w:right="-105" w:rightChars="-50"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3.提升履职能力。</w:t>
      </w:r>
      <w:r>
        <w:rPr>
          <w:rFonts w:hint="eastAsia" w:ascii="仿宋_GB2312" w:hAnsi="仿宋_GB2312" w:eastAsia="仿宋_GB2312" w:cs="仿宋_GB2312"/>
          <w:sz w:val="32"/>
          <w:szCs w:val="32"/>
        </w:rPr>
        <w:t>大力弘扬求真务实作风，旗帜鲜明激励担当、鼓励实干。加强商务法治建设，提高依法行政能力水平。进一步选优健强干部队伍，建设“学习型机关”，开展大调研活动，深入企业一线，鼓励干部职工提高学习能力、创新工作思维、增强履职本领。</w:t>
      </w:r>
    </w:p>
    <w:p>
      <w:pPr>
        <w:spacing w:line="600" w:lineRule="exact"/>
        <w:ind w:firstLine="64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四、激发内需潜力，提升消费支撑</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4.培育进限主体。</w:t>
      </w:r>
      <w:r>
        <w:rPr>
          <w:rFonts w:hint="eastAsia" w:ascii="仿宋_GB2312" w:hAnsi="仿宋_GB2312" w:eastAsia="仿宋_GB2312" w:cs="仿宋_GB2312"/>
          <w:kern w:val="0"/>
          <w:sz w:val="32"/>
          <w:szCs w:val="32"/>
          <w:shd w:val="clear" w:color="auto" w:fill="FFFFFF"/>
        </w:rPr>
        <w:t>充分利用省市区奖励、促消费、商业体系建设等政策，着力培育对我区商贸业有推动作用的实体商贸企业。深入开展商贸企业的调查摸底工作，加强与统计、税务、市场监管等部门的配合力度，全面掌握近限、达限的批零住餐企业，分别按照年度入库目标的2倍建立限上企业“培育库”。主动上门宣传相关政策，解除企业思想顾虑，动员和引导其依法入库纳统。指导限上企业精准报表，加强数据分析调度。</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5.激发消费潜力。</w:t>
      </w:r>
      <w:r>
        <w:rPr>
          <w:rFonts w:hint="eastAsia" w:ascii="仿宋_GB2312" w:hAnsi="仿宋_GB2312" w:eastAsia="仿宋_GB2312" w:cs="仿宋_GB2312"/>
          <w:kern w:val="0"/>
          <w:sz w:val="32"/>
          <w:szCs w:val="32"/>
          <w:shd w:val="clear" w:color="auto" w:fill="FFFFFF"/>
        </w:rPr>
        <w:t>落实国务院《推动大规模设备更新和消费品以旧换新行动方案》（国发</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kern w:val="0"/>
          <w:sz w:val="32"/>
          <w:szCs w:val="32"/>
          <w:shd w:val="clear" w:color="auto" w:fill="FFFFFF"/>
        </w:rPr>
        <w:t>7号）文件精神，结合本地消费特色，制定并实施全区2024年促消费活动方案，主导开展10场促消费活动，重点促进家电、家装建材、汽车、特色农产品等商品的消费；做好省市级促销政策承接，组织企业积极参加“惠购湖北”汽车消费券、“惠购湖北”新春消费券等系列活动；引导和支持吾悦广场、银泰购物、中百仓储、工贸家电、大润发等大型商贸企业利用春节、五一、国庆等重点节假日，开展主题鲜明、形式多样、群众参与度高的年货节、购物节、周年店庆、美食节等促销活动，全年不少于40场，营造“季季有主题、月月有活动、周周有场景”的促销活动氛围。</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6.壮大新型业态。</w:t>
      </w:r>
      <w:r>
        <w:rPr>
          <w:rFonts w:hint="eastAsia" w:ascii="仿宋_GB2312" w:hAnsi="仿宋_GB2312" w:eastAsia="仿宋_GB2312" w:cs="仿宋_GB2312"/>
          <w:kern w:val="0"/>
          <w:sz w:val="32"/>
          <w:szCs w:val="32"/>
          <w:shd w:val="clear" w:color="auto" w:fill="FFFFFF"/>
        </w:rPr>
        <w:t>大力发展电子商务，支持企业和商户积极发展网上商店、跨境电商，鼓励企业利用直播平台等形式开展直播带货等活动；培育一批农村电商创业带头人，推动农业合作社、农家乐开展网上销售，带动农村电商产业发展；推进曾都农产品公共服务品牌建设，培育一批“小而美”的农村电商特色品牌，扩大农产品影响力；组织开展电商技能培训，提升直播带货技能；联合邮政、交通等部门建设一批农村电商快递示范网点，推动线上线下消费融合，畅通工业品下乡、农产品进城渠道，力争全区电商交易额同比增长10%。</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7.提升餐饮消费。</w:t>
      </w:r>
      <w:r>
        <w:rPr>
          <w:rFonts w:hint="eastAsia" w:ascii="仿宋_GB2312" w:hAnsi="仿宋_GB2312" w:eastAsia="仿宋_GB2312" w:cs="仿宋_GB2312"/>
          <w:kern w:val="0"/>
          <w:sz w:val="32"/>
          <w:szCs w:val="32"/>
          <w:shd w:val="clear" w:color="auto" w:fill="FFFFFF"/>
        </w:rPr>
        <w:t>系统梳理随州菜理论和文化内涵，讲好曾都美食故事，着力宣传各大餐饮企业及特色菜品，助推本地餐饮企业做大做强；组织参加省市商务部门开展的“楚大厨”培训工作，发挥孔德明、邓龙山楚菜大师工作室引领效应，加强人才培育与楚厨队伍建设；支持餐饮企业争取楚菜大师工作室、绿色饭店、“楚大厨”培训扶持资金，促进行业发展；组织玉明随厨餐饮、食缘餐饮、曾都食府等餐饮龙头企业参加省内外楚菜美食博览会，叫响本地餐饮企业品牌。紧密联系餐饮与香菇、泡泡青等本地农特产品食材供应链，扩大特色农产品的推广宣传，带动餐饮行业上下游发展。</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8.打造消费场景。</w:t>
      </w:r>
      <w:r>
        <w:rPr>
          <w:rFonts w:hint="eastAsia" w:ascii="仿宋_GB2312" w:hAnsi="仿宋_GB2312" w:eastAsia="仿宋_GB2312" w:cs="仿宋_GB2312"/>
          <w:kern w:val="0"/>
          <w:sz w:val="32"/>
          <w:szCs w:val="32"/>
          <w:shd w:val="clear" w:color="auto" w:fill="FFFFFF"/>
        </w:rPr>
        <w:t>依托银泰新世纪购物中心、中百仓储、工贸广电等深厚的商业基础，连接小十字街、龙门街、东壕街等小餐饮聚集区域，打造集购物、餐饮、休闲等多元的解放路商业圈；以吾悦广场为中心，辐射北郊街道的交通大道、明珠路，培育集商务、购物、美食、娱乐为一体的城北商业圈。以二桥头白云湖风光段为主线，依托现有的烧烤店、大排档、大锅台、小酒馆等特色餐饮商户集聚区，打造富有烟火气息的夏季“湖岸烧烤不夜街”。建设文峰里商业街、海翼美岁天地商业街等一批特色商业街区，支持文峰里商业街申报2024年“湖北省级特色商业街”。</w:t>
      </w:r>
    </w:p>
    <w:p>
      <w:pPr>
        <w:spacing w:line="600" w:lineRule="exact"/>
        <w:ind w:firstLine="640"/>
        <w:jc w:val="left"/>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rPr>
        <w:t>五</w:t>
      </w:r>
      <w:r>
        <w:rPr>
          <w:rFonts w:hint="eastAsia" w:ascii="仿宋_GB2312" w:hAnsi="仿宋_GB2312" w:eastAsia="仿宋_GB2312" w:cs="仿宋_GB2312"/>
          <w:b/>
          <w:bCs/>
          <w:kern w:val="0"/>
          <w:sz w:val="32"/>
          <w:szCs w:val="32"/>
          <w:shd w:val="clear" w:color="auto" w:fill="FFFFFF"/>
        </w:rPr>
        <w:t>、完善流通体系，推进商业项目</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9.建设商业体系。</w:t>
      </w:r>
      <w:r>
        <w:rPr>
          <w:rFonts w:hint="eastAsia" w:ascii="仿宋_GB2312" w:hAnsi="仿宋_GB2312" w:eastAsia="仿宋_GB2312" w:cs="仿宋_GB2312"/>
          <w:kern w:val="0"/>
          <w:sz w:val="32"/>
          <w:szCs w:val="32"/>
          <w:shd w:val="clear" w:color="auto" w:fill="FFFFFF"/>
        </w:rPr>
        <w:t>积极申报省级县域商业体系建设试点县，争取省级项目资金支持，带动社会资本，建设一批重点商业项目。2024年升级改造1个城区商贸服务中心；推动府河、洛阳新建或改造镇级商贸服务中心；支持邮政公司推进万店、何店、洛阳镇级快递物流服务站和167个村级便民服务网点等建设；推荐城区2个社区开展一刻钟便民生活圈试点。出台《曾都区商贸发展三年（2024年—2026年）行动方案》。</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10.</w:t>
      </w:r>
      <w:r>
        <w:rPr>
          <w:rFonts w:hint="eastAsia" w:ascii="仿宋_GB2312" w:hAnsi="仿宋_GB2312" w:eastAsia="仿宋_GB2312" w:cs="仿宋_GB2312"/>
          <w:b/>
          <w:bCs/>
          <w:sz w:val="32"/>
          <w:szCs w:val="32"/>
        </w:rPr>
        <w:t>农贸市场建设。</w:t>
      </w:r>
      <w:r>
        <w:rPr>
          <w:rFonts w:hint="eastAsia" w:ascii="仿宋_GB2312" w:hAnsi="仿宋_GB2312" w:eastAsia="仿宋_GB2312" w:cs="仿宋_GB2312"/>
          <w:sz w:val="32"/>
          <w:szCs w:val="32"/>
        </w:rPr>
        <w:t>按照《曾都区推进农贸市场建设三年行动实施方案》，抓</w:t>
      </w:r>
      <w:r>
        <w:rPr>
          <w:rFonts w:hint="eastAsia" w:ascii="仿宋_GB2312" w:hAnsi="仿宋_GB2312" w:eastAsia="仿宋_GB2312" w:cs="仿宋_GB2312"/>
          <w:kern w:val="0"/>
          <w:sz w:val="32"/>
          <w:szCs w:val="32"/>
          <w:shd w:val="clear" w:color="auto" w:fill="FFFFFF"/>
        </w:rPr>
        <w:t>好农贸市场新建及升级改造工作，2024年新建示范型桃园农贸市场，改造示范型涢水农贸市场、达标型蒋岗农贸市场、烈山农贸市场。</w:t>
      </w:r>
    </w:p>
    <w:p>
      <w:pPr>
        <w:widowControl/>
        <w:shd w:val="clear" w:color="auto" w:fill="FFFFFF"/>
        <w:spacing w:line="600" w:lineRule="exact"/>
        <w:ind w:firstLine="640"/>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六、聚焦民生保障，抓实生活保供</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11.夯实应急保障。</w:t>
      </w:r>
      <w:r>
        <w:rPr>
          <w:rFonts w:hint="eastAsia" w:ascii="仿宋_GB2312" w:hAnsi="仿宋_GB2312" w:eastAsia="仿宋_GB2312" w:cs="仿宋_GB2312"/>
          <w:kern w:val="0"/>
          <w:sz w:val="32"/>
          <w:szCs w:val="32"/>
          <w:shd w:val="clear" w:color="auto" w:fill="FFFFFF"/>
        </w:rPr>
        <w:t>出台《曾都区生活必需品市场供应突发事件应急预案》，建立健全生活必需品市场供应突发事件的预警和应急机制，</w:t>
      </w:r>
      <w:r>
        <w:rPr>
          <w:rFonts w:hint="eastAsia" w:ascii="仿宋_GB2312" w:hAnsi="仿宋_GB2312" w:eastAsia="仿宋_GB2312" w:cs="仿宋_GB2312"/>
          <w:kern w:val="0"/>
          <w:sz w:val="32"/>
          <w:szCs w:val="32"/>
        </w:rPr>
        <w:t>确保在雨雪冰冻、防汛抗旱等特殊天气期间和重大公共卫生事件及其他特殊时间节点，做好相关储备、调运等应急保供工作，保障我区生活必需品供应充足、市场稳定。</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12.假日消费监测。</w:t>
      </w:r>
      <w:r>
        <w:rPr>
          <w:rFonts w:hint="eastAsia" w:ascii="仿宋_GB2312" w:hAnsi="仿宋_GB2312" w:eastAsia="仿宋_GB2312" w:cs="仿宋_GB2312"/>
          <w:kern w:val="0"/>
          <w:sz w:val="32"/>
          <w:szCs w:val="32"/>
          <w:shd w:val="clear" w:color="auto" w:fill="FFFFFF"/>
        </w:rPr>
        <w:t>做好重要节假日保供稳价工作，启动假日期间消费市场监测日报机制，对吾悦永辉、银泰新世纪、白沙洲物流园、中百仓储等6家大型商贸保供企业的生活必需品进行监测，动态掌握大米、面条、食用油、鸡蛋、猪肉、牛奶、蔬菜等9种商品销售、库存情况。</w:t>
      </w:r>
    </w:p>
    <w:p>
      <w:pPr>
        <w:spacing w:line="600" w:lineRule="exact"/>
        <w:ind w:firstLine="640"/>
        <w:jc w:val="left"/>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七、加强对外贸易，开拓国际市场</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13.优化营商环境。</w:t>
      </w:r>
      <w:r>
        <w:rPr>
          <w:rFonts w:hint="eastAsia" w:ascii="仿宋_GB2312" w:hAnsi="仿宋_GB2312" w:eastAsia="仿宋_GB2312" w:cs="仿宋_GB2312"/>
          <w:kern w:val="0"/>
          <w:sz w:val="32"/>
          <w:szCs w:val="32"/>
          <w:shd w:val="clear" w:color="auto" w:fill="FFFFFF"/>
        </w:rPr>
        <w:t>完善和拓展外贸综合服务中心功能，为企业提供全流程服务。切实加强涉外服务，联合信保、海关、税务等部门做好政策咨询、业务指导和人才培训等工作，大力促进更多企业外向发展。帮助企业解决生产经营和出口过程中的困难、问题，为企业扩大出口助力。</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14.发挥政策激励。</w:t>
      </w:r>
      <w:r>
        <w:rPr>
          <w:rFonts w:hint="eastAsia" w:ascii="仿宋_GB2312" w:hAnsi="仿宋_GB2312" w:eastAsia="仿宋_GB2312" w:cs="仿宋_GB2312"/>
          <w:kern w:val="0"/>
          <w:sz w:val="32"/>
          <w:szCs w:val="32"/>
          <w:shd w:val="clear" w:color="auto" w:fill="FFFFFF"/>
        </w:rPr>
        <w:t>积极宣传《曾都区关于进一步稳外贸稳外资的若干措施》，支持现有外贸企业做大做强。聚焦食用菌特色深加工产业，提升农产品出口品质；支持企业争取中央及省专项补贴项目，推动食用菌产业链高质量发展。</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15.扩大机电出口。</w:t>
      </w:r>
      <w:r>
        <w:rPr>
          <w:rFonts w:hint="eastAsia" w:ascii="仿宋_GB2312" w:hAnsi="仿宋_GB2312" w:eastAsia="仿宋_GB2312" w:cs="仿宋_GB2312"/>
          <w:kern w:val="0"/>
          <w:sz w:val="32"/>
          <w:szCs w:val="32"/>
          <w:shd w:val="clear" w:color="auto" w:fill="FFFFFF"/>
        </w:rPr>
        <w:t>巩固和扩大专汽及零部件出口上升趋势，鼓励企业在霍尔果斯口岸建立专汽展销中心，畅通向西发展通道；抢抓二手车出口政策调整机遇，拓展专汽出口新途径。鼓励优质企业在外境外设立生产、销售、售后服务中心，推动专汽产业链向外延伸。</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16.聚焦国际市场。</w:t>
      </w:r>
      <w:r>
        <w:rPr>
          <w:rFonts w:hint="eastAsia" w:ascii="仿宋_GB2312" w:hAnsi="仿宋_GB2312" w:eastAsia="仿宋_GB2312" w:cs="仿宋_GB2312"/>
          <w:kern w:val="0"/>
          <w:sz w:val="32"/>
          <w:szCs w:val="32"/>
          <w:shd w:val="clear" w:color="auto" w:fill="FFFFFF"/>
        </w:rPr>
        <w:t>组织企业参与“百团千企”走出去活动，做好广交会、进博会、服贸会、亚欧博览会、德国汉诺威工业博览会等重点展会组展参展工作，不断开拓东盟、俄罗斯中亚、欧洲、中东、拉美、非洲等市场，获取外贸信息和订单，增强企业开拓海外市场能力。</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17.推动业态创新。</w:t>
      </w:r>
      <w:r>
        <w:rPr>
          <w:rFonts w:hint="eastAsia" w:ascii="仿宋_GB2312" w:hAnsi="仿宋_GB2312" w:eastAsia="仿宋_GB2312" w:cs="仿宋_GB2312"/>
          <w:kern w:val="0"/>
          <w:sz w:val="32"/>
          <w:szCs w:val="32"/>
          <w:shd w:val="clear" w:color="auto" w:fill="FFFFFF"/>
        </w:rPr>
        <w:t>支持利用优质跨境电商平台，壮大跨境电商主体；鼓励外贸企业开展市场采购贸易、外贸综合服务、“海外仓”等外贸新业态，努力实现外贸新业态“零”的突破，培育新的外贸出口增长点。</w:t>
      </w:r>
    </w:p>
    <w:p>
      <w:pPr>
        <w:spacing w:line="600" w:lineRule="exact"/>
        <w:ind w:firstLine="640"/>
        <w:jc w:val="both"/>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18.发展服务贸易。</w:t>
      </w:r>
      <w:r>
        <w:rPr>
          <w:rFonts w:hint="eastAsia" w:ascii="仿宋_GB2312" w:hAnsi="仿宋_GB2312" w:eastAsia="仿宋_GB2312" w:cs="仿宋_GB2312"/>
          <w:kern w:val="0"/>
          <w:sz w:val="32"/>
          <w:szCs w:val="32"/>
          <w:shd w:val="clear" w:color="auto" w:fill="FFFFFF"/>
        </w:rPr>
        <w:t>充分发挥曾都区省级服务贸易示范基地作用，开展服务贸易政策宣讲，做好业务培训和指导；落实服贸领域各项支持政策，鼓励企业签订技术进出口合同，引进先进技术、输出成熟技术；组织企业参加服贸会等境内外知名展会。</w:t>
      </w:r>
    </w:p>
    <w:p>
      <w:pPr>
        <w:spacing w:line="600" w:lineRule="exact"/>
        <w:ind w:firstLine="640"/>
        <w:jc w:val="left"/>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 xml:space="preserve">八、强化经贸合作，大力招引外资 </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19.深挖存量资源。</w:t>
      </w:r>
      <w:r>
        <w:rPr>
          <w:rFonts w:hint="eastAsia" w:ascii="仿宋_GB2312" w:hAnsi="仿宋_GB2312" w:eastAsia="仿宋_GB2312" w:cs="仿宋_GB2312"/>
          <w:kern w:val="0"/>
          <w:sz w:val="32"/>
          <w:szCs w:val="32"/>
          <w:shd w:val="clear" w:color="auto" w:fill="FFFFFF"/>
        </w:rPr>
        <w:t>认真落实国家、省、市、区稳外资政策，以吸引先进制造业外资和盘活存量外资项目为重点，通过以增量和利润再投资为重要方式，推动利用外资持续增长。加强与本地外资企业联系沟通，建立企业家数据库台账，密切关注随州光晖针织有限公司后续外资扩能投产，跟踪沟通东风马可迅车轮有限公司增资事项。</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20.优化工作机制。</w:t>
      </w:r>
      <w:r>
        <w:rPr>
          <w:rFonts w:hint="eastAsia" w:ascii="仿宋_GB2312" w:hAnsi="仿宋_GB2312" w:eastAsia="仿宋_GB2312" w:cs="仿宋_GB2312"/>
          <w:kern w:val="0"/>
          <w:sz w:val="32"/>
          <w:szCs w:val="32"/>
          <w:shd w:val="clear" w:color="auto" w:fill="FFFFFF"/>
        </w:rPr>
        <w:t>对有到资意向的外资项目开展“保姆式”服务，争取区党政领导重视支持，运用“一企一策”，研判形势、商议措施，确保到资意向落地。强化业务培训，邀请省市商务部门来曾培训外资业务。强化部门协同，联合招商专班、商业协会、外事办等部门建立利用外资协调联动机制。</w:t>
      </w:r>
    </w:p>
    <w:p>
      <w:pPr>
        <w:spacing w:line="600" w:lineRule="exact"/>
        <w:ind w:firstLine="640"/>
        <w:jc w:val="left"/>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九、聚焦重点领域，确保行业安全</w:t>
      </w:r>
    </w:p>
    <w:p>
      <w:pPr>
        <w:spacing w:line="600" w:lineRule="exact"/>
        <w:ind w:firstLine="640"/>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21.严抓安全生产。</w:t>
      </w:r>
      <w:r>
        <w:rPr>
          <w:rFonts w:hint="eastAsia" w:ascii="仿宋_GB2312" w:hAnsi="仿宋_GB2312" w:eastAsia="仿宋_GB2312" w:cs="仿宋_GB2312"/>
          <w:kern w:val="0"/>
          <w:sz w:val="32"/>
          <w:szCs w:val="32"/>
          <w:shd w:val="clear" w:color="auto" w:fill="FFFFFF"/>
        </w:rPr>
        <w:t>履行商贸（成品油）安全生产专委会办公室作用，专题研究部署商务领域安全生产工作；开展加油站(点)、大型商场超市、农贸市场等商贸企业的安全隐患排查整治工作；配合监管部门做好商贸服务业安全管理，督促企业落实主体责任。规范成品油流通、报废机动车回收拆解市场秩序；深化再生资源体系建设。</w:t>
      </w:r>
    </w:p>
    <w:p>
      <w:pPr>
        <w:pStyle w:val="2"/>
        <w:spacing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22.全面强化安全发展保障。</w:t>
      </w:r>
      <w:r>
        <w:rPr>
          <w:rFonts w:hint="eastAsia" w:ascii="仿宋_GB2312" w:hAnsi="仿宋_GB2312" w:eastAsia="仿宋_GB2312" w:cs="仿宋_GB2312"/>
          <w:kern w:val="0"/>
          <w:sz w:val="32"/>
          <w:szCs w:val="32"/>
          <w:shd w:val="clear" w:color="auto" w:fill="FFFFFF"/>
        </w:rPr>
        <w:t>认真落实国家安全责任制，抓紧抓牢防范化解重大风险。深入学习贯彻党中央关于保密工作的方针政策和保</w:t>
      </w:r>
      <w:r>
        <w:rPr>
          <w:rFonts w:hint="eastAsia" w:ascii="仿宋_GB2312" w:hAnsi="仿宋_GB2312" w:eastAsia="仿宋_GB2312" w:cs="仿宋_GB2312"/>
          <w:sz w:val="32"/>
          <w:szCs w:val="32"/>
        </w:rPr>
        <w:t>密相关法律法规，定期研究保密工作，听取保密工作汇报。持续强化网络安全工作责任制，切实做好网络安全检查、风险隐患排查、信息安全防护等工作。认真抓好信访稳定和综治平安建设工作。</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OGM3Mjk5MzFkMGNlZGUwOWZhZDUxNWM4ZmY4ZjYifQ=="/>
  </w:docVars>
  <w:rsids>
    <w:rsidRoot w:val="00014F8A"/>
    <w:rsid w:val="00000A8E"/>
    <w:rsid w:val="00014F8A"/>
    <w:rsid w:val="00035817"/>
    <w:rsid w:val="000400EF"/>
    <w:rsid w:val="00091DB5"/>
    <w:rsid w:val="000C4145"/>
    <w:rsid w:val="000C4DAF"/>
    <w:rsid w:val="000E1084"/>
    <w:rsid w:val="000E4E0C"/>
    <w:rsid w:val="000F1DF4"/>
    <w:rsid w:val="0011133D"/>
    <w:rsid w:val="00120497"/>
    <w:rsid w:val="00144EA3"/>
    <w:rsid w:val="00187637"/>
    <w:rsid w:val="00190AEE"/>
    <w:rsid w:val="00191176"/>
    <w:rsid w:val="001A0A4F"/>
    <w:rsid w:val="001A3C41"/>
    <w:rsid w:val="001A64AB"/>
    <w:rsid w:val="001B3523"/>
    <w:rsid w:val="001E5138"/>
    <w:rsid w:val="001E7549"/>
    <w:rsid w:val="00201E88"/>
    <w:rsid w:val="00204DCC"/>
    <w:rsid w:val="00210369"/>
    <w:rsid w:val="00222447"/>
    <w:rsid w:val="00240880"/>
    <w:rsid w:val="00242872"/>
    <w:rsid w:val="00273AED"/>
    <w:rsid w:val="002774E1"/>
    <w:rsid w:val="00292682"/>
    <w:rsid w:val="002962B8"/>
    <w:rsid w:val="002B73F2"/>
    <w:rsid w:val="00304941"/>
    <w:rsid w:val="003576EC"/>
    <w:rsid w:val="00365012"/>
    <w:rsid w:val="00372E0B"/>
    <w:rsid w:val="00376531"/>
    <w:rsid w:val="003B664D"/>
    <w:rsid w:val="003C2296"/>
    <w:rsid w:val="003E32C8"/>
    <w:rsid w:val="004012A7"/>
    <w:rsid w:val="00464A6B"/>
    <w:rsid w:val="00472272"/>
    <w:rsid w:val="0047348D"/>
    <w:rsid w:val="00475E83"/>
    <w:rsid w:val="00490D6E"/>
    <w:rsid w:val="004950D6"/>
    <w:rsid w:val="00496F36"/>
    <w:rsid w:val="004C66EF"/>
    <w:rsid w:val="004E3202"/>
    <w:rsid w:val="004F161E"/>
    <w:rsid w:val="00523B07"/>
    <w:rsid w:val="005327A6"/>
    <w:rsid w:val="005356B8"/>
    <w:rsid w:val="00540B80"/>
    <w:rsid w:val="00557AA9"/>
    <w:rsid w:val="00570391"/>
    <w:rsid w:val="0058321D"/>
    <w:rsid w:val="00586BB4"/>
    <w:rsid w:val="005963B2"/>
    <w:rsid w:val="005D44EB"/>
    <w:rsid w:val="005E4439"/>
    <w:rsid w:val="005F2338"/>
    <w:rsid w:val="005F6AB9"/>
    <w:rsid w:val="00601DC2"/>
    <w:rsid w:val="00617A49"/>
    <w:rsid w:val="00621034"/>
    <w:rsid w:val="006407F3"/>
    <w:rsid w:val="00660A14"/>
    <w:rsid w:val="0066565C"/>
    <w:rsid w:val="00683D77"/>
    <w:rsid w:val="006925C8"/>
    <w:rsid w:val="006D266D"/>
    <w:rsid w:val="006E6431"/>
    <w:rsid w:val="006F1D4D"/>
    <w:rsid w:val="0071091F"/>
    <w:rsid w:val="007371F8"/>
    <w:rsid w:val="007410AD"/>
    <w:rsid w:val="00746691"/>
    <w:rsid w:val="00751B7B"/>
    <w:rsid w:val="00751FE9"/>
    <w:rsid w:val="00784D31"/>
    <w:rsid w:val="007855FE"/>
    <w:rsid w:val="007B68CC"/>
    <w:rsid w:val="007C20DA"/>
    <w:rsid w:val="007E1E42"/>
    <w:rsid w:val="007E1F68"/>
    <w:rsid w:val="0080190F"/>
    <w:rsid w:val="00834963"/>
    <w:rsid w:val="0083785D"/>
    <w:rsid w:val="0085394D"/>
    <w:rsid w:val="00856E89"/>
    <w:rsid w:val="008612CF"/>
    <w:rsid w:val="00862C34"/>
    <w:rsid w:val="00882921"/>
    <w:rsid w:val="00896059"/>
    <w:rsid w:val="008E2F47"/>
    <w:rsid w:val="008E4539"/>
    <w:rsid w:val="00923AAB"/>
    <w:rsid w:val="00954F08"/>
    <w:rsid w:val="00971EAB"/>
    <w:rsid w:val="00980714"/>
    <w:rsid w:val="0098310C"/>
    <w:rsid w:val="009D25A9"/>
    <w:rsid w:val="009D739D"/>
    <w:rsid w:val="00A30DA7"/>
    <w:rsid w:val="00A34E09"/>
    <w:rsid w:val="00A67190"/>
    <w:rsid w:val="00A71C30"/>
    <w:rsid w:val="00A75923"/>
    <w:rsid w:val="00AB3B15"/>
    <w:rsid w:val="00B26252"/>
    <w:rsid w:val="00B74B82"/>
    <w:rsid w:val="00B95133"/>
    <w:rsid w:val="00BB72D1"/>
    <w:rsid w:val="00BD419E"/>
    <w:rsid w:val="00C03C47"/>
    <w:rsid w:val="00C04488"/>
    <w:rsid w:val="00C20A6C"/>
    <w:rsid w:val="00C43A68"/>
    <w:rsid w:val="00C83821"/>
    <w:rsid w:val="00C908DB"/>
    <w:rsid w:val="00C96DC9"/>
    <w:rsid w:val="00CA2EE6"/>
    <w:rsid w:val="00CD0C9C"/>
    <w:rsid w:val="00CF6CD1"/>
    <w:rsid w:val="00D1548F"/>
    <w:rsid w:val="00D3318B"/>
    <w:rsid w:val="00D523A9"/>
    <w:rsid w:val="00D77E17"/>
    <w:rsid w:val="00D81974"/>
    <w:rsid w:val="00D85695"/>
    <w:rsid w:val="00D92E1A"/>
    <w:rsid w:val="00DB3839"/>
    <w:rsid w:val="00DB775B"/>
    <w:rsid w:val="00DE61B1"/>
    <w:rsid w:val="00E049AC"/>
    <w:rsid w:val="00E070B3"/>
    <w:rsid w:val="00E16BB4"/>
    <w:rsid w:val="00E34D0B"/>
    <w:rsid w:val="00E53C4E"/>
    <w:rsid w:val="00EA004C"/>
    <w:rsid w:val="00EA00C6"/>
    <w:rsid w:val="00EA3EC6"/>
    <w:rsid w:val="00EA40DF"/>
    <w:rsid w:val="00EA6822"/>
    <w:rsid w:val="00ED5B24"/>
    <w:rsid w:val="00ED5CE0"/>
    <w:rsid w:val="00EE5E96"/>
    <w:rsid w:val="00EF666E"/>
    <w:rsid w:val="00F026B8"/>
    <w:rsid w:val="00F03C94"/>
    <w:rsid w:val="00F06B89"/>
    <w:rsid w:val="00F13C11"/>
    <w:rsid w:val="00F3514B"/>
    <w:rsid w:val="00F52E4E"/>
    <w:rsid w:val="00F96FC6"/>
    <w:rsid w:val="00FA7882"/>
    <w:rsid w:val="00FB6958"/>
    <w:rsid w:val="00FD1E35"/>
    <w:rsid w:val="00FF3373"/>
    <w:rsid w:val="0D210971"/>
    <w:rsid w:val="0F7F4EA0"/>
    <w:rsid w:val="17B76674"/>
    <w:rsid w:val="2D0F095B"/>
    <w:rsid w:val="492139EC"/>
    <w:rsid w:val="582F65DF"/>
    <w:rsid w:val="59D15A33"/>
    <w:rsid w:val="77D519F9"/>
    <w:rsid w:val="7DBE43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paragraph" w:styleId="3">
    <w:name w:val="heading 1"/>
    <w:basedOn w:val="1"/>
    <w:link w:val="15"/>
    <w:autoRedefine/>
    <w:qFormat/>
    <w:uiPriority w:val="9"/>
    <w:pPr>
      <w:widowControl/>
      <w:spacing w:before="100" w:beforeAutospacing="1" w:after="100" w:afterAutospacing="1"/>
      <w:ind w:firstLine="0" w:firstLineChars="0"/>
      <w:jc w:val="left"/>
      <w:outlineLvl w:val="0"/>
    </w:pPr>
    <w:rPr>
      <w:rFonts w:ascii="宋体" w:hAnsi="宋体" w:eastAsia="宋体" w:cs="宋体"/>
      <w:b/>
      <w:bCs/>
      <w:kern w:val="36"/>
      <w:sz w:val="48"/>
      <w:szCs w:val="48"/>
    </w:rPr>
  </w:style>
  <w:style w:type="paragraph" w:styleId="4">
    <w:name w:val="heading 2"/>
    <w:basedOn w:val="1"/>
    <w:link w:val="16"/>
    <w:autoRedefine/>
    <w:qFormat/>
    <w:uiPriority w:val="9"/>
    <w:pPr>
      <w:widowControl/>
      <w:spacing w:before="100" w:beforeAutospacing="1" w:after="100" w:afterAutospacing="1"/>
      <w:ind w:firstLine="0" w:firstLineChars="0"/>
      <w:jc w:val="left"/>
      <w:outlineLvl w:val="1"/>
    </w:pPr>
    <w:rPr>
      <w:rFonts w:ascii="宋体" w:hAnsi="宋体" w:eastAsia="宋体" w:cs="宋体"/>
      <w:b/>
      <w:bCs/>
      <w:kern w:val="0"/>
      <w:sz w:val="36"/>
      <w:szCs w:val="36"/>
    </w:rPr>
  </w:style>
  <w:style w:type="paragraph" w:styleId="5">
    <w:name w:val="heading 3"/>
    <w:basedOn w:val="1"/>
    <w:next w:val="1"/>
    <w:link w:val="23"/>
    <w:autoRedefine/>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6">
    <w:name w:val="Body Text Indent"/>
    <w:basedOn w:val="1"/>
    <w:autoRedefine/>
    <w:qFormat/>
    <w:uiPriority w:val="0"/>
    <w:pPr>
      <w:tabs>
        <w:tab w:val="left" w:pos="1260"/>
      </w:tabs>
      <w:ind w:firstLine="560"/>
    </w:pPr>
    <w:rPr>
      <w:rFonts w:ascii="仿宋_GB2312"/>
      <w:sz w:val="28"/>
    </w:rPr>
  </w:style>
  <w:style w:type="paragraph" w:styleId="7">
    <w:name w:val="Date"/>
    <w:basedOn w:val="1"/>
    <w:next w:val="1"/>
    <w:link w:val="24"/>
    <w:autoRedefine/>
    <w:semiHidden/>
    <w:unhideWhenUsed/>
    <w:qFormat/>
    <w:uiPriority w:val="99"/>
    <w:pPr>
      <w:ind w:left="100" w:leftChars="2500"/>
    </w:pPr>
  </w:style>
  <w:style w:type="paragraph" w:styleId="8">
    <w:name w:val="Normal (Web)"/>
    <w:basedOn w:val="1"/>
    <w:autoRedefine/>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6"/>
    <w:next w:val="1"/>
    <w:autoRedefine/>
    <w:qFormat/>
    <w:uiPriority w:val="99"/>
    <w:rPr>
      <w:rFonts w:ascii="??" w:hAnsi="??"/>
      <w:sz w:val="36"/>
    </w:rPr>
  </w:style>
  <w:style w:type="character" w:styleId="12">
    <w:name w:val="Strong"/>
    <w:basedOn w:val="11"/>
    <w:autoRedefine/>
    <w:qFormat/>
    <w:uiPriority w:val="22"/>
    <w:rPr>
      <w:b/>
      <w:bCs/>
    </w:rPr>
  </w:style>
  <w:style w:type="character" w:styleId="13">
    <w:name w:val="Emphasis"/>
    <w:basedOn w:val="11"/>
    <w:autoRedefine/>
    <w:qFormat/>
    <w:uiPriority w:val="20"/>
    <w:rPr>
      <w:i/>
      <w:iCs/>
    </w:rPr>
  </w:style>
  <w:style w:type="character" w:styleId="14">
    <w:name w:val="Hyperlink"/>
    <w:basedOn w:val="11"/>
    <w:autoRedefine/>
    <w:semiHidden/>
    <w:unhideWhenUsed/>
    <w:qFormat/>
    <w:uiPriority w:val="99"/>
    <w:rPr>
      <w:color w:val="0000FF"/>
      <w:u w:val="single"/>
    </w:rPr>
  </w:style>
  <w:style w:type="character" w:customStyle="1" w:styleId="15">
    <w:name w:val="标题 1 Char"/>
    <w:basedOn w:val="11"/>
    <w:link w:val="3"/>
    <w:autoRedefine/>
    <w:qFormat/>
    <w:uiPriority w:val="9"/>
    <w:rPr>
      <w:rFonts w:ascii="宋体" w:hAnsi="宋体" w:eastAsia="宋体" w:cs="宋体"/>
      <w:b/>
      <w:bCs/>
      <w:kern w:val="36"/>
      <w:sz w:val="48"/>
      <w:szCs w:val="48"/>
    </w:rPr>
  </w:style>
  <w:style w:type="character" w:customStyle="1" w:styleId="16">
    <w:name w:val="标题 2 Char"/>
    <w:basedOn w:val="11"/>
    <w:link w:val="4"/>
    <w:autoRedefine/>
    <w:qFormat/>
    <w:uiPriority w:val="9"/>
    <w:rPr>
      <w:rFonts w:ascii="宋体" w:hAnsi="宋体" w:eastAsia="宋体" w:cs="宋体"/>
      <w:b/>
      <w:bCs/>
      <w:kern w:val="0"/>
      <w:sz w:val="36"/>
      <w:szCs w:val="36"/>
    </w:rPr>
  </w:style>
  <w:style w:type="character" w:customStyle="1" w:styleId="17">
    <w:name w:val="wz_res"/>
    <w:basedOn w:val="11"/>
    <w:autoRedefine/>
    <w:qFormat/>
    <w:uiPriority w:val="0"/>
  </w:style>
  <w:style w:type="character" w:customStyle="1" w:styleId="18">
    <w:name w:val="wz_font"/>
    <w:basedOn w:val="11"/>
    <w:autoRedefine/>
    <w:qFormat/>
    <w:uiPriority w:val="0"/>
  </w:style>
  <w:style w:type="character" w:customStyle="1" w:styleId="19">
    <w:name w:val="wz_down"/>
    <w:basedOn w:val="11"/>
    <w:autoRedefine/>
    <w:qFormat/>
    <w:uiPriority w:val="0"/>
  </w:style>
  <w:style w:type="character" w:customStyle="1" w:styleId="20">
    <w:name w:val="wza-dn"/>
    <w:basedOn w:val="11"/>
    <w:autoRedefine/>
    <w:qFormat/>
    <w:uiPriority w:val="0"/>
  </w:style>
  <w:style w:type="character" w:customStyle="1" w:styleId="21">
    <w:name w:val="print_w"/>
    <w:basedOn w:val="11"/>
    <w:autoRedefine/>
    <w:qFormat/>
    <w:uiPriority w:val="0"/>
  </w:style>
  <w:style w:type="character" w:customStyle="1" w:styleId="22">
    <w:name w:val="wz_sc"/>
    <w:basedOn w:val="11"/>
    <w:autoRedefine/>
    <w:qFormat/>
    <w:uiPriority w:val="0"/>
  </w:style>
  <w:style w:type="character" w:customStyle="1" w:styleId="23">
    <w:name w:val="标题 3 Char"/>
    <w:basedOn w:val="11"/>
    <w:link w:val="5"/>
    <w:autoRedefine/>
    <w:semiHidden/>
    <w:qFormat/>
    <w:uiPriority w:val="9"/>
    <w:rPr>
      <w:b/>
      <w:bCs/>
      <w:sz w:val="32"/>
      <w:szCs w:val="32"/>
    </w:rPr>
  </w:style>
  <w:style w:type="character" w:customStyle="1" w:styleId="24">
    <w:name w:val="日期 Char"/>
    <w:basedOn w:val="11"/>
    <w:link w:val="7"/>
    <w:autoRedefine/>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626</Words>
  <Characters>3570</Characters>
  <Lines>29</Lines>
  <Paragraphs>8</Paragraphs>
  <TotalTime>6328</TotalTime>
  <ScaleCrop>false</ScaleCrop>
  <LinksUpToDate>false</LinksUpToDate>
  <CharactersWithSpaces>4188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2024-03-04T00:29:00Z</dcterms:created>
  <dc:creator>dreamsummit</dc:creator>
  <cp:lastModifiedBy>李启航15586692525</cp:lastModifiedBy>
  <cp:lastPrinted>2024-04-07T07:44:00Z</cp:lastPrinted>
  <dcterms:modified xsi:type="dcterms:W3CDTF">2024-04-12T02:47:48Z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E2A140D741E64886BE058CC9CB57B245_13</vt:lpwstr>
  </property>
</Properties>
</file>