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rPr>
      </w:pPr>
    </w:p>
    <w:p>
      <w:pPr>
        <w:spacing w:line="600" w:lineRule="exact"/>
        <w:jc w:val="center"/>
        <w:rPr>
          <w:rFonts w:ascii="仿宋_GB2312"/>
        </w:rPr>
      </w:pPr>
    </w:p>
    <w:p>
      <w:pPr>
        <w:spacing w:line="600" w:lineRule="exact"/>
        <w:jc w:val="center"/>
        <w:rPr>
          <w:rFonts w:ascii="仿宋_GB2312"/>
        </w:rPr>
      </w:pPr>
    </w:p>
    <w:p>
      <w:pPr>
        <w:spacing w:line="600" w:lineRule="exact"/>
        <w:jc w:val="center"/>
        <w:rPr>
          <w:rFonts w:ascii="仿宋" w:hAnsi="仿宋" w:eastAsia="仿宋" w:cs="仿宋"/>
        </w:rPr>
      </w:pPr>
      <w:r>
        <w:rPr>
          <w:rFonts w:hint="eastAsia" w:ascii="仿宋" w:hAnsi="仿宋" w:eastAsia="仿宋" w:cs="仿宋"/>
        </w:rPr>
        <w:t>随曾发改审批〔2022〕68 号</w:t>
      </w:r>
    </w:p>
    <w:p>
      <w:pPr>
        <w:spacing w:line="600" w:lineRule="exact"/>
        <w:jc w:val="center"/>
        <w:rPr>
          <w:rFonts w:ascii="仿宋_GB2312"/>
          <w:sz w:val="44"/>
          <w:szCs w:val="44"/>
        </w:rPr>
      </w:pPr>
    </w:p>
    <w:p>
      <w:pPr>
        <w:spacing w:line="600" w:lineRule="exact"/>
        <w:ind w:left="1586" w:hanging="1586" w:hangingChars="395"/>
        <w:jc w:val="center"/>
        <w:rPr>
          <w:rFonts w:ascii="宋体" w:hAnsi="宋体" w:eastAsia="宋体" w:cs="宋体"/>
          <w:b/>
          <w:bCs/>
          <w:sz w:val="40"/>
          <w:szCs w:val="44"/>
        </w:rPr>
      </w:pPr>
      <w:r>
        <w:rPr>
          <w:rFonts w:hint="eastAsia" w:ascii="宋体" w:hAnsi="宋体" w:eastAsia="宋体" w:cs="宋体"/>
          <w:b/>
          <w:bCs/>
          <w:sz w:val="40"/>
          <w:szCs w:val="44"/>
        </w:rPr>
        <w:t>关于曾都区北郊卫生院曾都经济开发区分院</w:t>
      </w:r>
    </w:p>
    <w:p>
      <w:pPr>
        <w:spacing w:line="600" w:lineRule="exact"/>
        <w:ind w:left="1586" w:hanging="1586" w:hangingChars="395"/>
        <w:jc w:val="center"/>
        <w:rPr>
          <w:rFonts w:ascii="宋体" w:hAnsi="宋体" w:eastAsia="宋体" w:cs="宋体"/>
          <w:b/>
          <w:bCs/>
          <w:sz w:val="40"/>
          <w:szCs w:val="44"/>
        </w:rPr>
      </w:pPr>
      <w:r>
        <w:rPr>
          <w:rFonts w:hint="eastAsia" w:ascii="宋体" w:hAnsi="宋体" w:eastAsia="宋体" w:cs="宋体"/>
          <w:b/>
          <w:bCs/>
          <w:sz w:val="40"/>
          <w:szCs w:val="44"/>
        </w:rPr>
        <w:t>建设项目初步设计报告变更的批复</w:t>
      </w:r>
    </w:p>
    <w:p>
      <w:pPr>
        <w:spacing w:line="640" w:lineRule="exact"/>
      </w:pPr>
    </w:p>
    <w:p>
      <w:pPr>
        <w:spacing w:line="640" w:lineRule="exact"/>
        <w:rPr>
          <w:rFonts w:ascii="仿宋" w:hAnsi="仿宋" w:eastAsia="仿宋" w:cs="仿宋"/>
        </w:rPr>
      </w:pPr>
      <w:r>
        <w:rPr>
          <w:rFonts w:hint="eastAsia" w:ascii="仿宋_GB2312" w:hAnsi="仿宋"/>
        </w:rPr>
        <w:t>曾都区北郊卫生院</w:t>
      </w:r>
      <w:r>
        <w:rPr>
          <w:rFonts w:ascii="仿宋" w:hAnsi="仿宋" w:eastAsia="仿宋" w:cs="仿宋"/>
        </w:rPr>
        <w:t>：</w:t>
      </w:r>
    </w:p>
    <w:p>
      <w:pPr>
        <w:spacing w:line="600" w:lineRule="exact"/>
        <w:ind w:firstLine="640" w:firstLineChars="200"/>
        <w:rPr>
          <w:rFonts w:ascii="仿宋" w:hAnsi="仿宋" w:eastAsia="仿宋" w:cs="仿宋"/>
        </w:rPr>
      </w:pPr>
      <w:r>
        <w:rPr>
          <w:rFonts w:hint="eastAsia" w:ascii="仿宋" w:hAnsi="仿宋" w:eastAsia="仿宋" w:cs="仿宋"/>
        </w:rPr>
        <w:t>你单位报来的《关于变更曾都区北郊卫生院曾都经济开发区分院建设项目初步设计报告批复的申请》及相关附件收悉，根据专家组评审意见，经研究，原则同意该项目变更，现将该项目（项目代码：</w:t>
      </w:r>
      <w:r>
        <w:fldChar w:fldCharType="begin"/>
      </w:r>
      <w:r>
        <w:instrText xml:space="preserve"> HYPERLINK "javascript:void(0);" </w:instrText>
      </w:r>
      <w:r>
        <w:fldChar w:fldCharType="separate"/>
      </w:r>
      <w:r>
        <w:rPr>
          <w:rFonts w:hint="eastAsia" w:ascii="仿宋" w:hAnsi="仿宋" w:eastAsia="仿宋" w:cs="仿宋"/>
        </w:rPr>
        <w:t>2104-421303-04-01-786411</w:t>
      </w:r>
      <w:r>
        <w:rPr>
          <w:rFonts w:hint="eastAsia" w:ascii="仿宋" w:hAnsi="仿宋" w:eastAsia="仿宋" w:cs="仿宋"/>
        </w:rPr>
        <w:fldChar w:fldCharType="end"/>
      </w:r>
      <w:r>
        <w:rPr>
          <w:rFonts w:hint="eastAsia" w:ascii="仿宋" w:hAnsi="仿宋" w:eastAsia="仿宋" w:cs="仿宋"/>
        </w:rPr>
        <w:t>）初步设计方案批复如下：</w:t>
      </w:r>
    </w:p>
    <w:p>
      <w:pPr>
        <w:numPr>
          <w:ilvl w:val="0"/>
          <w:numId w:val="1"/>
        </w:numPr>
        <w:spacing w:line="640" w:lineRule="exact"/>
        <w:ind w:firstLine="615"/>
        <w:rPr>
          <w:rFonts w:ascii="仿宋" w:hAnsi="仿宋" w:eastAsia="仿宋" w:cs="仿宋"/>
          <w:bCs/>
        </w:rPr>
      </w:pPr>
      <w:bookmarkStart w:id="0" w:name="_Toc292459174"/>
      <w:bookmarkStart w:id="1" w:name="_Toc292459588"/>
      <w:bookmarkStart w:id="2" w:name="_Toc307057859"/>
      <w:r>
        <w:rPr>
          <w:rFonts w:hint="eastAsia" w:ascii="仿宋" w:hAnsi="仿宋" w:eastAsia="仿宋" w:cs="仿宋"/>
          <w:b/>
          <w:bCs/>
        </w:rPr>
        <w:t>建设地址</w:t>
      </w:r>
      <w:bookmarkEnd w:id="0"/>
      <w:bookmarkEnd w:id="1"/>
      <w:bookmarkEnd w:id="2"/>
      <w:bookmarkStart w:id="3" w:name="_Toc292459175"/>
      <w:bookmarkStart w:id="4" w:name="_Toc292459589"/>
      <w:bookmarkStart w:id="5" w:name="_Toc307057860"/>
      <w:r>
        <w:rPr>
          <w:rFonts w:hint="eastAsia" w:ascii="仿宋" w:hAnsi="仿宋" w:eastAsia="仿宋" w:cs="仿宋"/>
          <w:b/>
          <w:bCs/>
        </w:rPr>
        <w:t>：</w:t>
      </w:r>
      <w:r>
        <w:rPr>
          <w:rFonts w:hint="eastAsia" w:ascii="仿宋_GB2312" w:hAnsi="仿宋"/>
        </w:rPr>
        <w:t>随州市曾都区经济开发区六草屋村六组</w:t>
      </w:r>
      <w:r>
        <w:rPr>
          <w:rFonts w:hint="eastAsia" w:ascii="仿宋" w:hAnsi="仿宋" w:eastAsia="仿宋" w:cs="仿宋"/>
          <w:bCs/>
        </w:rPr>
        <w:t>。</w:t>
      </w:r>
    </w:p>
    <w:p>
      <w:pPr>
        <w:spacing w:line="640" w:lineRule="exact"/>
        <w:ind w:firstLine="643" w:firstLineChars="200"/>
        <w:rPr>
          <w:rFonts w:ascii="仿宋_GB2312" w:hAnsi="仿宋"/>
        </w:rPr>
      </w:pPr>
      <w:r>
        <w:rPr>
          <w:rFonts w:hint="eastAsia" w:ascii="仿宋" w:hAnsi="仿宋" w:eastAsia="仿宋" w:cs="仿宋"/>
          <w:b/>
          <w:bCs/>
        </w:rPr>
        <w:t>二、建设内容及</w:t>
      </w:r>
      <w:bookmarkEnd w:id="3"/>
      <w:bookmarkEnd w:id="4"/>
      <w:bookmarkEnd w:id="5"/>
      <w:r>
        <w:rPr>
          <w:rFonts w:hint="eastAsia" w:ascii="仿宋" w:hAnsi="仿宋" w:eastAsia="仿宋" w:cs="仿宋"/>
          <w:b/>
          <w:bCs/>
        </w:rPr>
        <w:t>规模：</w:t>
      </w:r>
      <w:r>
        <w:rPr>
          <w:rFonts w:hint="eastAsia" w:ascii="仿宋_GB2312" w:hAnsi="仿宋"/>
        </w:rPr>
        <w:t>项目占地面积为37200平方米，总建筑面积为</w:t>
      </w:r>
      <w:r>
        <w:rPr>
          <w:rFonts w:ascii="仿宋_GB2312" w:hAnsi="仿宋"/>
        </w:rPr>
        <w:t>49012.64</w:t>
      </w:r>
      <w:r>
        <w:rPr>
          <w:rFonts w:hint="eastAsia" w:ascii="仿宋_GB2312" w:hAnsi="仿宋"/>
        </w:rPr>
        <w:t>平方米，其中：地上建筑面积 39950.01平方米，地下室建筑面积</w:t>
      </w:r>
      <w:r>
        <w:rPr>
          <w:rFonts w:ascii="仿宋_GB2312" w:hAnsi="仿宋"/>
        </w:rPr>
        <w:t>9062.63</w:t>
      </w:r>
      <w:r>
        <w:rPr>
          <w:rFonts w:hint="eastAsia" w:ascii="仿宋_GB2312" w:hAnsi="仿宋"/>
        </w:rPr>
        <w:t>平方米，（含人防面积 1997.50 平方米），设置停车位471个。按综合医院标准建设，完善相关配套设备及基础设施。</w:t>
      </w:r>
    </w:p>
    <w:p>
      <w:pPr>
        <w:spacing w:line="640" w:lineRule="exact"/>
        <w:ind w:firstLine="643" w:firstLineChars="200"/>
        <w:rPr>
          <w:rFonts w:ascii="仿宋" w:hAnsi="仿宋" w:eastAsia="仿宋" w:cs="仿宋"/>
        </w:rPr>
      </w:pPr>
      <w:r>
        <w:rPr>
          <w:rFonts w:hint="eastAsia" w:ascii="仿宋" w:hAnsi="仿宋" w:eastAsia="仿宋" w:cs="仿宋"/>
          <w:b/>
          <w:bCs/>
        </w:rPr>
        <w:t>三、设计方案：</w:t>
      </w:r>
      <w:r>
        <w:rPr>
          <w:rFonts w:hint="eastAsia" w:ascii="仿宋" w:hAnsi="仿宋" w:eastAsia="仿宋" w:cs="仿宋"/>
        </w:rPr>
        <w:t>原则同意该项目初步设计方案。</w:t>
      </w:r>
    </w:p>
    <w:p>
      <w:pPr>
        <w:spacing w:line="600" w:lineRule="exact"/>
        <w:ind w:firstLine="643" w:firstLineChars="200"/>
        <w:rPr>
          <w:rFonts w:ascii="仿宋" w:hAnsi="仿宋" w:eastAsia="仿宋" w:cs="仿宋"/>
        </w:rPr>
      </w:pPr>
      <w:r>
        <w:rPr>
          <w:rFonts w:hint="eastAsia" w:ascii="仿宋" w:hAnsi="仿宋" w:eastAsia="仿宋" w:cs="仿宋"/>
          <w:b/>
          <w:bCs/>
        </w:rPr>
        <w:t>四、总投资及资金来源：</w:t>
      </w:r>
      <w:r>
        <w:rPr>
          <w:rFonts w:hint="eastAsia" w:ascii="仿宋" w:hAnsi="仿宋" w:eastAsia="仿宋" w:cs="仿宋"/>
          <w:bCs/>
        </w:rPr>
        <w:t>项目</w:t>
      </w:r>
      <w:r>
        <w:rPr>
          <w:rFonts w:hint="eastAsia" w:ascii="仿宋" w:hAnsi="仿宋" w:eastAsia="仿宋" w:cs="仿宋"/>
        </w:rPr>
        <w:t>概算总投资31784.04万元,资金来源为</w:t>
      </w:r>
      <w:r>
        <w:rPr>
          <w:rFonts w:hint="eastAsia"/>
          <w:color w:val="000000" w:themeColor="text1"/>
        </w:rPr>
        <w:t>建设单位自筹</w:t>
      </w:r>
      <w:r>
        <w:rPr>
          <w:rFonts w:hint="eastAsia" w:ascii="仿宋" w:hAnsi="仿宋" w:eastAsia="仿宋" w:cs="仿宋"/>
          <w:color w:val="000000" w:themeColor="text1"/>
        </w:rPr>
        <w:t>。</w:t>
      </w:r>
    </w:p>
    <w:p>
      <w:pPr>
        <w:spacing w:line="600" w:lineRule="exact"/>
        <w:ind w:firstLine="640" w:firstLineChars="200"/>
        <w:rPr>
          <w:rFonts w:ascii="仿宋" w:hAnsi="仿宋" w:eastAsia="仿宋" w:cs="仿宋"/>
        </w:rPr>
      </w:pPr>
      <w:r>
        <w:rPr>
          <w:rFonts w:hint="eastAsia" w:ascii="仿宋" w:hAnsi="仿宋" w:eastAsia="仿宋" w:cs="仿宋"/>
        </w:rPr>
        <w:t>接此批复后，</w:t>
      </w:r>
      <w:r>
        <w:rPr>
          <w:rFonts w:hint="eastAsia" w:ascii="仿宋_GB2312" w:hAnsi="仿宋_GB2312" w:cs="仿宋_GB2312"/>
        </w:rPr>
        <w:t>原</w:t>
      </w:r>
      <w:r>
        <w:rPr>
          <w:rFonts w:ascii="仿宋_GB2312" w:hAnsi="仿宋_GB2312" w:cs="仿宋_GB2312"/>
        </w:rPr>
        <w:t>《关于</w:t>
      </w:r>
      <w:r>
        <w:rPr>
          <w:rFonts w:hint="eastAsia" w:ascii="仿宋" w:hAnsi="仿宋" w:eastAsia="仿宋" w:cs="仿宋"/>
        </w:rPr>
        <w:t>曾都区北郊卫生院曾都经济开发区分院建设项目初步设计报告</w:t>
      </w:r>
      <w:r>
        <w:rPr>
          <w:rFonts w:ascii="仿宋_GB2312" w:hAnsi="仿宋_GB2312" w:cs="仿宋_GB2312"/>
        </w:rPr>
        <w:t>的批复》(随曾发改</w:t>
      </w:r>
      <w:r>
        <w:rPr>
          <w:rFonts w:hint="eastAsia" w:ascii="仿宋_GB2312" w:hAnsi="仿宋_GB2312" w:cs="仿宋_GB2312"/>
        </w:rPr>
        <w:t>审批</w:t>
      </w:r>
      <w:r>
        <w:rPr>
          <w:rFonts w:ascii="仿宋_GB2312" w:hAnsi="仿宋_GB2312" w:cs="仿宋_GB2312"/>
        </w:rPr>
        <w:t>[202</w:t>
      </w:r>
      <w:r>
        <w:rPr>
          <w:rFonts w:hint="eastAsia" w:ascii="仿宋_GB2312" w:hAnsi="仿宋_GB2312" w:cs="仿宋_GB2312"/>
        </w:rPr>
        <w:t>1</w:t>
      </w:r>
      <w:r>
        <w:rPr>
          <w:rFonts w:ascii="仿宋_GB2312" w:hAnsi="仿宋_GB2312" w:cs="仿宋_GB2312"/>
        </w:rPr>
        <w:t>]</w:t>
      </w:r>
      <w:r>
        <w:rPr>
          <w:rFonts w:hint="eastAsia" w:ascii="仿宋_GB2312" w:hAnsi="仿宋_GB2312" w:cs="仿宋_GB2312"/>
        </w:rPr>
        <w:t>177</w:t>
      </w:r>
      <w:r>
        <w:rPr>
          <w:rFonts w:ascii="仿宋_GB2312" w:hAnsi="仿宋_GB2312" w:cs="仿宋_GB2312"/>
        </w:rPr>
        <w:t>号)文件作废。</w:t>
      </w:r>
      <w:r>
        <w:rPr>
          <w:rFonts w:hint="eastAsia" w:ascii="仿宋_GB2312" w:hAnsi="仿宋_GB2312" w:cs="仿宋_GB2312"/>
        </w:rPr>
        <w:t>请</w:t>
      </w:r>
      <w:r>
        <w:rPr>
          <w:rFonts w:hint="eastAsia" w:ascii="仿宋" w:hAnsi="仿宋" w:eastAsia="仿宋" w:cs="仿宋"/>
        </w:rPr>
        <w:t>抓紧完备相关建设手续。按照初步设计审查意见和国家有关规定，严格控制建设标准和工程规模，确保项目建设依法依规。进一步完善和优化设计，并严格实行项目法人责任制、招标投标制、建设监理制和合同管理制，切实加强质量和投资管理，采取有效措施确保工程质量，按期完成工程建设任务。</w:t>
      </w:r>
    </w:p>
    <w:p>
      <w:pPr>
        <w:spacing w:line="600" w:lineRule="exact"/>
        <w:ind w:firstLine="640" w:firstLineChars="200"/>
        <w:rPr>
          <w:rFonts w:ascii="仿宋" w:hAnsi="仿宋" w:eastAsia="仿宋" w:cs="仿宋"/>
        </w:rPr>
      </w:pPr>
    </w:p>
    <w:p>
      <w:pPr>
        <w:spacing w:line="600" w:lineRule="exact"/>
        <w:ind w:firstLine="640" w:firstLineChars="200"/>
        <w:rPr>
          <w:rFonts w:ascii="仿宋" w:hAnsi="仿宋" w:eastAsia="仿宋" w:cs="仿宋"/>
        </w:rPr>
      </w:pPr>
      <w:r>
        <w:rPr>
          <w:rFonts w:hint="eastAsia" w:ascii="仿宋" w:hAnsi="仿宋" w:eastAsia="仿宋" w:cs="仿宋"/>
        </w:rPr>
        <w:t>附件：招标事项核准意见表</w:t>
      </w:r>
    </w:p>
    <w:p>
      <w:pPr>
        <w:spacing w:line="600" w:lineRule="exact"/>
        <w:ind w:firstLine="640" w:firstLineChars="200"/>
        <w:rPr>
          <w:rFonts w:ascii="仿宋" w:hAnsi="仿宋" w:eastAsia="仿宋" w:cs="仿宋"/>
        </w:rPr>
      </w:pPr>
      <w:r>
        <w:rPr>
          <w:rFonts w:hint="eastAsia" w:ascii="仿宋" w:hAnsi="仿宋" w:eastAsia="仿宋" w:cs="仿宋"/>
        </w:rPr>
        <w:t xml:space="preserve">       项目概算核定表</w:t>
      </w:r>
    </w:p>
    <w:p>
      <w:pPr>
        <w:spacing w:line="600" w:lineRule="exact"/>
        <w:ind w:firstLine="640" w:firstLineChars="200"/>
        <w:rPr>
          <w:rFonts w:ascii="仿宋" w:hAnsi="仿宋" w:eastAsia="仿宋" w:cs="仿宋"/>
        </w:rPr>
      </w:pPr>
    </w:p>
    <w:p>
      <w:pPr>
        <w:spacing w:line="600" w:lineRule="exact"/>
        <w:ind w:firstLine="640" w:firstLineChars="200"/>
        <w:rPr>
          <w:rFonts w:ascii="仿宋" w:hAnsi="仿宋" w:eastAsia="仿宋" w:cs="仿宋"/>
        </w:rPr>
      </w:pPr>
      <w:r>
        <w:rPr>
          <w:rFonts w:hint="eastAsia" w:ascii="仿宋" w:hAnsi="仿宋" w:eastAsia="仿宋" w:cs="仿宋"/>
        </w:rPr>
        <w:t xml:space="preserve">                             </w:t>
      </w:r>
    </w:p>
    <w:p>
      <w:pPr>
        <w:spacing w:line="600" w:lineRule="exact"/>
        <w:ind w:firstLine="640" w:firstLineChars="200"/>
        <w:rPr>
          <w:rFonts w:ascii="仿宋" w:hAnsi="仿宋" w:eastAsia="仿宋" w:cs="仿宋"/>
        </w:rPr>
      </w:pPr>
    </w:p>
    <w:p>
      <w:pPr>
        <w:spacing w:line="600" w:lineRule="exact"/>
        <w:ind w:firstLine="5280" w:firstLineChars="1650"/>
        <w:rPr>
          <w:rFonts w:ascii="仿宋" w:hAnsi="仿宋" w:eastAsia="仿宋" w:cs="仿宋"/>
        </w:rPr>
      </w:pPr>
      <w:r>
        <w:rPr>
          <w:rFonts w:hint="eastAsia" w:ascii="仿宋" w:hAnsi="仿宋" w:eastAsia="仿宋" w:cs="仿宋"/>
        </w:rPr>
        <w:t xml:space="preserve">  </w:t>
      </w:r>
    </w:p>
    <w:p>
      <w:pPr>
        <w:spacing w:line="600" w:lineRule="exact"/>
        <w:ind w:firstLine="5856" w:firstLineChars="1830"/>
        <w:rPr>
          <w:rFonts w:ascii="仿宋" w:hAnsi="仿宋" w:eastAsia="仿宋" w:cs="仿宋"/>
        </w:rPr>
      </w:pPr>
      <w:r>
        <w:rPr>
          <w:rFonts w:hint="eastAsia" w:ascii="仿宋" w:hAnsi="仿宋" w:eastAsia="仿宋" w:cs="仿宋"/>
        </w:rPr>
        <w:t>2022年5月11日</w:t>
      </w:r>
    </w:p>
    <w:p>
      <w:pPr>
        <w:spacing w:line="600" w:lineRule="exact"/>
        <w:ind w:firstLine="5856" w:firstLineChars="1830"/>
        <w:rPr>
          <w:rFonts w:ascii="仿宋_GB2312" w:hAnsi="宋体"/>
        </w:rPr>
      </w:pPr>
    </w:p>
    <w:p>
      <w:pPr>
        <w:spacing w:line="600" w:lineRule="exact"/>
        <w:ind w:firstLine="5856" w:firstLineChars="1830"/>
        <w:rPr>
          <w:rFonts w:ascii="仿宋_GB2312" w:hAnsi="宋体"/>
        </w:rPr>
      </w:pPr>
    </w:p>
    <w:p>
      <w:pPr>
        <w:tabs>
          <w:tab w:val="left" w:pos="3441"/>
        </w:tabs>
        <w:spacing w:line="600" w:lineRule="exact"/>
        <w:rPr>
          <w:rFonts w:ascii="宋体" w:hAnsi="宋体" w:eastAsia="宋体" w:cs="宋体"/>
          <w:b/>
          <w:bCs/>
          <w:sz w:val="44"/>
          <w:szCs w:val="44"/>
        </w:rPr>
      </w:pPr>
      <w:r>
        <w:rPr>
          <w:rFonts w:hint="eastAsia" w:ascii="宋体" w:hAnsi="宋体" w:eastAsia="宋体" w:cs="宋体"/>
          <w:b/>
          <w:bCs/>
          <w:sz w:val="44"/>
          <w:szCs w:val="44"/>
        </w:rPr>
        <w:t xml:space="preserve">     </w:t>
      </w:r>
    </w:p>
    <w:p>
      <w:pPr>
        <w:tabs>
          <w:tab w:val="left" w:pos="3441"/>
        </w:tabs>
        <w:spacing w:line="600" w:lineRule="exact"/>
        <w:rPr>
          <w:rFonts w:ascii="宋体" w:hAnsi="宋体" w:eastAsia="宋体" w:cs="宋体"/>
          <w:b/>
          <w:bCs/>
          <w:sz w:val="44"/>
          <w:szCs w:val="44"/>
        </w:rPr>
      </w:pPr>
    </w:p>
    <w:p>
      <w:pPr>
        <w:tabs>
          <w:tab w:val="left" w:pos="3441"/>
        </w:tabs>
        <w:spacing w:line="600" w:lineRule="exact"/>
        <w:rPr>
          <w:rFonts w:ascii="宋体" w:hAnsi="宋体" w:eastAsia="宋体"/>
          <w:spacing w:val="-6"/>
          <w:sz w:val="44"/>
          <w:szCs w:val="44"/>
        </w:rPr>
      </w:pPr>
      <w:r>
        <w:rPr>
          <w:rFonts w:hint="eastAsia" w:ascii="宋体" w:hAnsi="宋体" w:eastAsia="宋体" w:cs="宋体"/>
          <w:b/>
          <w:bCs/>
          <w:sz w:val="44"/>
          <w:szCs w:val="44"/>
        </w:rPr>
        <w:t xml:space="preserve">           招标事项核准意见表</w:t>
      </w:r>
    </w:p>
    <w:p>
      <w:pPr>
        <w:pStyle w:val="2"/>
        <w:spacing w:line="640" w:lineRule="exact"/>
        <w:ind w:firstLine="0" w:firstLineChars="0"/>
        <w:rPr>
          <w:rFonts w:ascii="宋体" w:hAnsi="宋体" w:eastAsia="宋体"/>
          <w:sz w:val="24"/>
          <w:szCs w:val="24"/>
        </w:rPr>
      </w:pPr>
      <w:r>
        <w:rPr>
          <w:rFonts w:hint="eastAsia" w:ascii="宋体" w:hAnsi="宋体" w:eastAsia="宋体"/>
          <w:sz w:val="24"/>
          <w:szCs w:val="24"/>
        </w:rPr>
        <w:t>项目名称：曾都区北郊卫生院曾都经济开发区分院建设项目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895"/>
        <w:gridCol w:w="851"/>
        <w:gridCol w:w="1003"/>
        <w:gridCol w:w="985"/>
        <w:gridCol w:w="829"/>
        <w:gridCol w:w="902"/>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910"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招标内容</w:t>
            </w:r>
          </w:p>
        </w:tc>
        <w:tc>
          <w:tcPr>
            <w:tcW w:w="1746" w:type="dxa"/>
            <w:gridSpan w:val="2"/>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招标范围</w:t>
            </w:r>
          </w:p>
        </w:tc>
        <w:tc>
          <w:tcPr>
            <w:tcW w:w="1988" w:type="dxa"/>
            <w:gridSpan w:val="2"/>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招标组织形式</w:t>
            </w:r>
          </w:p>
        </w:tc>
        <w:tc>
          <w:tcPr>
            <w:tcW w:w="1731" w:type="dxa"/>
            <w:gridSpan w:val="2"/>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招标方式</w:t>
            </w:r>
          </w:p>
        </w:tc>
        <w:tc>
          <w:tcPr>
            <w:tcW w:w="1214" w:type="dxa"/>
            <w:vMerge w:val="restart"/>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不采用招标方式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c>
          <w:tcPr>
            <w:tcW w:w="895"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全部</w:t>
            </w:r>
          </w:p>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招标</w:t>
            </w:r>
          </w:p>
        </w:tc>
        <w:tc>
          <w:tcPr>
            <w:tcW w:w="851"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部分</w:t>
            </w:r>
          </w:p>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招标</w:t>
            </w:r>
          </w:p>
        </w:tc>
        <w:tc>
          <w:tcPr>
            <w:tcW w:w="1003"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自行</w:t>
            </w:r>
          </w:p>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招标</w:t>
            </w:r>
          </w:p>
        </w:tc>
        <w:tc>
          <w:tcPr>
            <w:tcW w:w="985"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委托</w:t>
            </w:r>
          </w:p>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招标</w:t>
            </w:r>
          </w:p>
        </w:tc>
        <w:tc>
          <w:tcPr>
            <w:tcW w:w="829"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公开招标</w:t>
            </w:r>
          </w:p>
        </w:tc>
        <w:tc>
          <w:tcPr>
            <w:tcW w:w="902"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邀请</w:t>
            </w:r>
          </w:p>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招标</w:t>
            </w:r>
          </w:p>
        </w:tc>
        <w:tc>
          <w:tcPr>
            <w:tcW w:w="12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910"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勘察</w:t>
            </w:r>
          </w:p>
        </w:tc>
        <w:tc>
          <w:tcPr>
            <w:tcW w:w="895"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1003"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829"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902"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910"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设计</w:t>
            </w:r>
          </w:p>
        </w:tc>
        <w:tc>
          <w:tcPr>
            <w:tcW w:w="895"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1003"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829"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902"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910"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建筑及安装工程</w:t>
            </w:r>
          </w:p>
        </w:tc>
        <w:tc>
          <w:tcPr>
            <w:tcW w:w="895"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1003"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829"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902"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910"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监理</w:t>
            </w:r>
          </w:p>
        </w:tc>
        <w:tc>
          <w:tcPr>
            <w:tcW w:w="895"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1003"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829"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902"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910"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设备</w:t>
            </w:r>
          </w:p>
        </w:tc>
        <w:tc>
          <w:tcPr>
            <w:tcW w:w="895"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1003"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829"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902"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910"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重要材料</w:t>
            </w:r>
          </w:p>
        </w:tc>
        <w:tc>
          <w:tcPr>
            <w:tcW w:w="895"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1003"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829"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902"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910"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r>
              <w:rPr>
                <w:rFonts w:hint="eastAsia" w:ascii="宋体" w:hAnsi="宋体" w:eastAsia="宋体"/>
                <w:sz w:val="21"/>
                <w:szCs w:val="21"/>
              </w:rPr>
              <w:t>其它</w:t>
            </w:r>
          </w:p>
        </w:tc>
        <w:tc>
          <w:tcPr>
            <w:tcW w:w="895"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p>
        </w:tc>
        <w:tc>
          <w:tcPr>
            <w:tcW w:w="1003"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829"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b/>
                <w:sz w:val="21"/>
                <w:szCs w:val="21"/>
              </w:rPr>
            </w:pPr>
            <w:r>
              <w:rPr>
                <w:rFonts w:hint="eastAsia" w:ascii="宋体" w:hAnsi="宋体" w:eastAsia="宋体"/>
                <w:b/>
                <w:sz w:val="21"/>
                <w:szCs w:val="21"/>
              </w:rPr>
              <w:t>√</w:t>
            </w:r>
          </w:p>
        </w:tc>
        <w:tc>
          <w:tcPr>
            <w:tcW w:w="902"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p>
        </w:tc>
        <w:tc>
          <w:tcPr>
            <w:tcW w:w="1214"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2" w:hRule="atLeast"/>
        </w:trPr>
        <w:tc>
          <w:tcPr>
            <w:tcW w:w="8589" w:type="dxa"/>
            <w:gridSpan w:val="8"/>
            <w:tcBorders>
              <w:top w:val="single" w:color="auto" w:sz="4" w:space="0"/>
              <w:left w:val="single" w:color="auto" w:sz="4" w:space="0"/>
              <w:bottom w:val="single" w:color="auto" w:sz="4" w:space="0"/>
              <w:right w:val="single" w:color="auto" w:sz="4" w:space="0"/>
            </w:tcBorders>
            <w:vAlign w:val="center"/>
          </w:tcPr>
          <w:p>
            <w:pPr>
              <w:pStyle w:val="2"/>
              <w:spacing w:line="420" w:lineRule="exact"/>
              <w:ind w:firstLine="0" w:firstLineChars="0"/>
              <w:rPr>
                <w:rFonts w:ascii="宋体" w:hAnsi="宋体" w:eastAsia="宋体" w:cs="仿宋"/>
                <w:sz w:val="24"/>
                <w:szCs w:val="24"/>
              </w:rPr>
            </w:pPr>
            <w:r>
              <w:rPr>
                <w:rFonts w:hint="eastAsia" w:ascii="宋体" w:hAnsi="宋体" w:eastAsia="宋体" w:cs="仿宋"/>
                <w:sz w:val="24"/>
                <w:szCs w:val="24"/>
              </w:rPr>
              <w:t>核准事项说明：</w:t>
            </w:r>
          </w:p>
          <w:p>
            <w:pPr>
              <w:pStyle w:val="2"/>
              <w:spacing w:line="420" w:lineRule="exact"/>
              <w:ind w:firstLine="480" w:firstLineChars="0"/>
              <w:rPr>
                <w:rFonts w:ascii="宋体" w:hAnsi="宋体" w:eastAsia="宋体" w:cs="仿宋"/>
                <w:sz w:val="24"/>
                <w:szCs w:val="24"/>
              </w:rPr>
            </w:pPr>
            <w:r>
              <w:rPr>
                <w:rFonts w:hint="eastAsia" w:ascii="宋体" w:hAnsi="宋体" w:eastAsia="宋体" w:cs="仿宋"/>
                <w:sz w:val="24"/>
                <w:szCs w:val="24"/>
              </w:rPr>
              <w:t>请严格按照《中华人民共和国招标投标法》或《政府采购法》，规范进行招标活动。项目建设单位在招标活动中对核准的招标范围、招标组织形式、招标方式等作出改变的，应向核准部门重新办理有关核准手续，并用文字详细说明原因。</w:t>
            </w:r>
          </w:p>
          <w:p>
            <w:pPr>
              <w:pStyle w:val="2"/>
              <w:spacing w:line="420" w:lineRule="exact"/>
              <w:ind w:firstLine="480" w:firstLineChars="0"/>
              <w:rPr>
                <w:rFonts w:ascii="宋体" w:hAnsi="宋体" w:eastAsia="宋体" w:cs="仿宋"/>
                <w:sz w:val="24"/>
                <w:szCs w:val="24"/>
              </w:rPr>
            </w:pPr>
            <w:r>
              <w:rPr>
                <w:rFonts w:hint="eastAsia" w:ascii="宋体" w:hAnsi="宋体" w:eastAsia="宋体" w:cs="仿宋"/>
                <w:sz w:val="24"/>
                <w:szCs w:val="24"/>
              </w:rPr>
              <w:t>项目建设单位在报送招标内容时弄虚作假，或者在招标活动中违背项目核准部门核准事项，按照国办发[2000]34号文的规定，由项目核准部门和有关行政监督部门依法处罚。</w:t>
            </w:r>
          </w:p>
          <w:p>
            <w:pPr>
              <w:pStyle w:val="2"/>
              <w:spacing w:line="420" w:lineRule="exact"/>
              <w:ind w:firstLine="480" w:firstLineChars="0"/>
              <w:rPr>
                <w:rFonts w:ascii="宋体" w:hAnsi="宋体" w:eastAsia="宋体" w:cs="仿宋"/>
                <w:sz w:val="24"/>
                <w:szCs w:val="24"/>
              </w:rPr>
            </w:pPr>
          </w:p>
          <w:p>
            <w:pPr>
              <w:pStyle w:val="2"/>
              <w:spacing w:line="420" w:lineRule="exact"/>
              <w:ind w:firstLine="480" w:firstLineChars="0"/>
              <w:rPr>
                <w:rFonts w:ascii="宋体" w:hAnsi="宋体" w:eastAsia="宋体" w:cs="仿宋"/>
                <w:sz w:val="24"/>
                <w:szCs w:val="24"/>
              </w:rPr>
            </w:pPr>
          </w:p>
          <w:p>
            <w:pPr>
              <w:pStyle w:val="2"/>
              <w:spacing w:line="420" w:lineRule="exact"/>
              <w:ind w:firstLine="480"/>
              <w:rPr>
                <w:rFonts w:ascii="宋体" w:hAnsi="宋体" w:eastAsia="宋体" w:cs="仿宋"/>
                <w:sz w:val="24"/>
                <w:szCs w:val="24"/>
              </w:rPr>
            </w:pPr>
          </w:p>
          <w:p>
            <w:pPr>
              <w:pStyle w:val="2"/>
              <w:spacing w:line="420" w:lineRule="exact"/>
              <w:ind w:right="480" w:firstLine="5400" w:firstLineChars="2250"/>
              <w:rPr>
                <w:rFonts w:ascii="宋体" w:hAnsi="宋体" w:eastAsia="宋体" w:cs="仿宋"/>
                <w:sz w:val="24"/>
                <w:szCs w:val="24"/>
              </w:rPr>
            </w:pPr>
            <w:r>
              <w:rPr>
                <w:rFonts w:hint="eastAsia" w:ascii="宋体" w:hAnsi="宋体" w:eastAsia="宋体" w:cs="仿宋"/>
                <w:sz w:val="24"/>
                <w:szCs w:val="24"/>
              </w:rPr>
              <w:t xml:space="preserve"> 审批部门盖章 </w:t>
            </w:r>
          </w:p>
          <w:p>
            <w:pPr>
              <w:pStyle w:val="2"/>
              <w:spacing w:line="320" w:lineRule="exact"/>
              <w:ind w:firstLine="5380" w:firstLineChars="2242"/>
              <w:rPr>
                <w:rFonts w:cs="仿宋" w:asciiTheme="minorEastAsia" w:hAnsiTheme="minorEastAsia" w:eastAsiaTheme="minorEastAsia"/>
                <w:sz w:val="24"/>
                <w:szCs w:val="24"/>
              </w:rPr>
            </w:pPr>
            <w:r>
              <w:rPr>
                <w:rFonts w:hint="eastAsia" w:ascii="宋体" w:hAnsi="宋体" w:eastAsia="宋体" w:cs="仿宋"/>
                <w:sz w:val="24"/>
                <w:szCs w:val="24"/>
              </w:rPr>
              <w:t>20</w:t>
            </w:r>
            <w:r>
              <w:rPr>
                <w:rFonts w:hint="eastAsia" w:cs="仿宋" w:asciiTheme="minorEastAsia" w:hAnsiTheme="minorEastAsia" w:eastAsiaTheme="minorEastAsia"/>
                <w:sz w:val="24"/>
                <w:szCs w:val="24"/>
              </w:rPr>
              <w:t>22</w:t>
            </w:r>
            <w:r>
              <w:rPr>
                <w:rFonts w:hint="eastAsia" w:ascii="宋体" w:hAnsi="宋体" w:eastAsia="宋体" w:cs="仿宋"/>
                <w:sz w:val="24"/>
                <w:szCs w:val="24"/>
              </w:rPr>
              <w:t>年5月</w:t>
            </w:r>
            <w:r>
              <w:rPr>
                <w:rFonts w:hint="eastAsia" w:cs="仿宋" w:asciiTheme="minorEastAsia" w:hAnsiTheme="minorEastAsia" w:eastAsiaTheme="minorEastAsia"/>
                <w:sz w:val="24"/>
                <w:szCs w:val="24"/>
              </w:rPr>
              <w:t>11</w:t>
            </w:r>
            <w:r>
              <w:rPr>
                <w:rFonts w:hint="eastAsia" w:ascii="宋体" w:hAnsi="宋体" w:eastAsia="宋体" w:cs="仿宋"/>
                <w:sz w:val="24"/>
                <w:szCs w:val="24"/>
              </w:rPr>
              <w:t xml:space="preserve">日 </w:t>
            </w:r>
          </w:p>
        </w:tc>
      </w:tr>
    </w:tbl>
    <w:p>
      <w:pPr>
        <w:spacing w:line="500" w:lineRule="exact"/>
        <w:ind w:firstLine="117" w:firstLineChars="49"/>
        <w:rPr>
          <w:rFonts w:ascii="宋体" w:hAnsi="宋体" w:eastAsia="宋体"/>
          <w:sz w:val="24"/>
          <w:szCs w:val="24"/>
        </w:rPr>
      </w:pPr>
    </w:p>
    <w:p>
      <w:pPr>
        <w:spacing w:line="500" w:lineRule="exact"/>
        <w:ind w:firstLine="138" w:firstLineChars="49"/>
        <w:rPr>
          <w:rFonts w:ascii="宋体" w:hAnsi="宋体" w:eastAsia="宋体" w:cs="宋体"/>
          <w:b/>
          <w:bCs/>
          <w:sz w:val="28"/>
          <w:szCs w:val="44"/>
        </w:rPr>
      </w:pPr>
    </w:p>
    <w:p>
      <w:pPr>
        <w:spacing w:line="500" w:lineRule="exact"/>
        <w:ind w:firstLine="138" w:firstLineChars="49"/>
        <w:rPr>
          <w:rFonts w:ascii="宋体" w:hAnsi="宋体" w:eastAsia="宋体" w:cs="宋体"/>
          <w:b/>
          <w:bCs/>
          <w:sz w:val="28"/>
          <w:szCs w:val="44"/>
        </w:rPr>
      </w:pPr>
      <w:r>
        <w:rPr>
          <w:rFonts w:hint="eastAsia" w:ascii="宋体" w:hAnsi="宋体" w:eastAsia="宋体" w:cs="宋体"/>
          <w:b/>
          <w:bCs/>
          <w:sz w:val="28"/>
          <w:szCs w:val="44"/>
        </w:rPr>
        <w:t xml:space="preserve">   曾都区北郊卫生院曾都经济开发区分院建设项目概算核定表</w:t>
      </w:r>
    </w:p>
    <w:tbl>
      <w:tblPr>
        <w:tblStyle w:val="5"/>
        <w:tblW w:w="8500" w:type="dxa"/>
        <w:tblInd w:w="96" w:type="dxa"/>
        <w:tblLayout w:type="autofit"/>
        <w:tblCellMar>
          <w:top w:w="0" w:type="dxa"/>
          <w:left w:w="108" w:type="dxa"/>
          <w:bottom w:w="0" w:type="dxa"/>
          <w:right w:w="108" w:type="dxa"/>
        </w:tblCellMar>
      </w:tblPr>
      <w:tblGrid>
        <w:gridCol w:w="696"/>
        <w:gridCol w:w="2706"/>
        <w:gridCol w:w="1420"/>
        <w:gridCol w:w="1039"/>
        <w:gridCol w:w="1220"/>
        <w:gridCol w:w="1419"/>
      </w:tblGrid>
      <w:tr>
        <w:tblPrEx>
          <w:tblCellMar>
            <w:top w:w="0" w:type="dxa"/>
            <w:left w:w="108" w:type="dxa"/>
            <w:bottom w:w="0" w:type="dxa"/>
            <w:right w:w="108" w:type="dxa"/>
          </w:tblCellMar>
        </w:tblPrEx>
        <w:trPr>
          <w:trHeight w:val="660" w:hRule="atLeast"/>
        </w:trPr>
        <w:tc>
          <w:tcPr>
            <w:tcW w:w="6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序号</w:t>
            </w:r>
          </w:p>
        </w:tc>
        <w:tc>
          <w:tcPr>
            <w:tcW w:w="27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工程项目或</w:t>
            </w:r>
            <w:r>
              <w:rPr>
                <w:rFonts w:hint="eastAsia" w:ascii="仿宋" w:hAnsi="仿宋" w:eastAsia="仿宋" w:cs="宋体"/>
                <w:b/>
                <w:kern w:val="0"/>
                <w:sz w:val="24"/>
                <w:szCs w:val="24"/>
              </w:rPr>
              <w:br w:type="textWrapping"/>
            </w:r>
            <w:r>
              <w:rPr>
                <w:rFonts w:hint="eastAsia" w:ascii="仿宋" w:hAnsi="仿宋" w:eastAsia="仿宋" w:cs="宋体"/>
                <w:b/>
                <w:kern w:val="0"/>
                <w:sz w:val="24"/>
                <w:szCs w:val="24"/>
              </w:rPr>
              <w:t>费用名称</w:t>
            </w:r>
          </w:p>
        </w:tc>
        <w:tc>
          <w:tcPr>
            <w:tcW w:w="14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建筑工程费</w:t>
            </w:r>
          </w:p>
        </w:tc>
        <w:tc>
          <w:tcPr>
            <w:tcW w:w="104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设备购置费</w:t>
            </w:r>
          </w:p>
        </w:tc>
        <w:tc>
          <w:tcPr>
            <w:tcW w:w="12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安装工程费</w:t>
            </w:r>
          </w:p>
        </w:tc>
        <w:tc>
          <w:tcPr>
            <w:tcW w:w="14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kern w:val="0"/>
                <w:sz w:val="24"/>
                <w:szCs w:val="24"/>
              </w:rPr>
            </w:pPr>
            <w:r>
              <w:rPr>
                <w:rFonts w:hint="eastAsia" w:ascii="仿宋" w:hAnsi="仿宋" w:eastAsia="仿宋" w:cs="宋体"/>
                <w:b/>
                <w:kern w:val="0"/>
                <w:sz w:val="24"/>
                <w:szCs w:val="24"/>
              </w:rPr>
              <w:t>合计（万元）</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一</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工程费用</w:t>
            </w:r>
          </w:p>
        </w:tc>
        <w:tc>
          <w:tcPr>
            <w:tcW w:w="14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19776.68 </w:t>
            </w:r>
          </w:p>
        </w:tc>
        <w:tc>
          <w:tcPr>
            <w:tcW w:w="1040" w:type="dxa"/>
            <w:tcBorders>
              <w:top w:val="nil"/>
              <w:left w:val="single" w:color="auto" w:sz="4" w:space="0"/>
              <w:bottom w:val="single" w:color="auto" w:sz="4" w:space="0"/>
              <w:right w:val="nil"/>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100.00 </w:t>
            </w:r>
          </w:p>
        </w:tc>
        <w:tc>
          <w:tcPr>
            <w:tcW w:w="1220" w:type="dxa"/>
            <w:tcBorders>
              <w:top w:val="nil"/>
              <w:left w:val="single" w:color="auto" w:sz="4" w:space="0"/>
              <w:bottom w:val="single" w:color="auto" w:sz="4" w:space="0"/>
              <w:right w:val="nil"/>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7201.92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27078.60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1</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地下室(二期)</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5145.12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1009.97 </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6155.09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地下室土建工程</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4384.23 </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4384.23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桩基工程</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39.99 </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39.99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支护工程</w:t>
            </w:r>
          </w:p>
        </w:tc>
        <w:tc>
          <w:tcPr>
            <w:tcW w:w="1420" w:type="dxa"/>
            <w:tcBorders>
              <w:top w:val="nil"/>
              <w:left w:val="single" w:color="000000" w:sz="4" w:space="0"/>
              <w:bottom w:val="nil"/>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720.90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720.90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暖通工程</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4"/>
                <w:szCs w:val="24"/>
                <w:u w:val="single"/>
              </w:rPr>
            </w:pP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110.68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110.68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给排水工程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177.32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177.32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供配电及照明工程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256.57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256.57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1.7</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消防水工程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197.13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197.13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1.8</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消防电工程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33.27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33.27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1.9</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弱电智能化工程</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235.00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235.00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2</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精神卫生中心大楼</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3868.04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1548.99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5417.03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2.1</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土建工程</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3868.04 </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3868.04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2.2</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暖通工程</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351.56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351.56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2.3</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给排水工程</w:t>
            </w:r>
          </w:p>
        </w:tc>
        <w:tc>
          <w:tcPr>
            <w:tcW w:w="1420" w:type="dxa"/>
            <w:tcBorders>
              <w:top w:val="nil"/>
              <w:left w:val="single" w:color="000000" w:sz="4" w:space="0"/>
              <w:bottom w:val="nil"/>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138.94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138.94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2.4</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供配电及照明工程</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4"/>
                <w:szCs w:val="24"/>
                <w:u w:val="single"/>
              </w:rPr>
            </w:pP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329.17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329.17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2.5</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消防水工程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266.01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266.01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2.6</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消防电工程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58.31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58.31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2.7</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弱电智能化工程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285.00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285.00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2.8</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电梯工程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120.00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120.00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3</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隔离中心楼</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5095.86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2234.05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7329.91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3.1</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土建工程</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5095.86 </w:t>
            </w:r>
          </w:p>
        </w:tc>
        <w:tc>
          <w:tcPr>
            <w:tcW w:w="10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5095.86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3.2</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暖通工程（含空调设备）</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416.82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416.82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3.3</w:t>
            </w:r>
          </w:p>
        </w:tc>
        <w:tc>
          <w:tcPr>
            <w:tcW w:w="2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给排水工程</w:t>
            </w:r>
          </w:p>
        </w:tc>
        <w:tc>
          <w:tcPr>
            <w:tcW w:w="1420" w:type="dxa"/>
            <w:tcBorders>
              <w:top w:val="nil"/>
              <w:left w:val="single" w:color="000000" w:sz="4" w:space="0"/>
              <w:bottom w:val="nil"/>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255.54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255.54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3.4</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供配电及照明工程</w:t>
            </w:r>
          </w:p>
        </w:tc>
        <w:tc>
          <w:tcPr>
            <w:tcW w:w="14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4"/>
                <w:szCs w:val="24"/>
                <w:u w:val="single"/>
              </w:rPr>
            </w:pP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550.24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550.24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3.5</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消防水工程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370.89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370.89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3.6</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消防电工程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70.57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70.57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3.7</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弱电智能化工程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470.00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470.00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3.8</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电梯工程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100.00 </w:t>
            </w:r>
          </w:p>
        </w:tc>
        <w:tc>
          <w:tcPr>
            <w:tcW w:w="14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100.00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4</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门诊大楼</w:t>
            </w:r>
          </w:p>
        </w:tc>
        <w:tc>
          <w:tcPr>
            <w:tcW w:w="14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4024.33 </w:t>
            </w:r>
          </w:p>
        </w:tc>
        <w:tc>
          <w:tcPr>
            <w:tcW w:w="1040" w:type="dxa"/>
            <w:tcBorders>
              <w:top w:val="nil"/>
              <w:left w:val="single" w:color="auto" w:sz="4" w:space="0"/>
              <w:bottom w:val="single" w:color="auto" w:sz="4" w:space="0"/>
              <w:right w:val="nil"/>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100.00 </w:t>
            </w:r>
          </w:p>
        </w:tc>
        <w:tc>
          <w:tcPr>
            <w:tcW w:w="1220" w:type="dxa"/>
            <w:tcBorders>
              <w:top w:val="nil"/>
              <w:left w:val="single" w:color="auto" w:sz="4" w:space="0"/>
              <w:bottom w:val="single" w:color="auto" w:sz="4" w:space="0"/>
              <w:right w:val="nil"/>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2207.61 </w:t>
            </w:r>
          </w:p>
        </w:tc>
        <w:tc>
          <w:tcPr>
            <w:tcW w:w="142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6331.94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4.1</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地下土建工程</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652.40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652.40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4.2</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桩基工程</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89.17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89.17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4.3</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支护工程</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203.00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203.00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4.4</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地上土建工程</w:t>
            </w:r>
          </w:p>
        </w:tc>
        <w:tc>
          <w:tcPr>
            <w:tcW w:w="14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3079.76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3079.76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4.5</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暖通工程（含空调设备）</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496.59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496.59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4.6</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消防水工程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184.48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184.48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4.7</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消防电工程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135.29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135.29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4.8</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给排水工程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244.13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244.13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4.9</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供配电及照明工程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575.79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575.79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4.10 </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弱电智能化工程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227.04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227.04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4.11 </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燃气工程</w:t>
            </w:r>
          </w:p>
        </w:tc>
        <w:tc>
          <w:tcPr>
            <w:tcW w:w="14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76.30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76.30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4.12 </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电梯工程</w:t>
            </w:r>
          </w:p>
        </w:tc>
        <w:tc>
          <w:tcPr>
            <w:tcW w:w="14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268.00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268.00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4.13 </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厨房、食堂设备工程</w:t>
            </w:r>
          </w:p>
        </w:tc>
        <w:tc>
          <w:tcPr>
            <w:tcW w:w="14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single" w:color="auto" w:sz="4" w:space="0"/>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100.00 </w:t>
            </w:r>
          </w:p>
        </w:tc>
        <w:tc>
          <w:tcPr>
            <w:tcW w:w="1220"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 w:hAnsi="仿宋" w:eastAsia="仿宋" w:cs="宋体"/>
                <w:color w:val="000000"/>
                <w:kern w:val="0"/>
                <w:sz w:val="24"/>
                <w:szCs w:val="24"/>
              </w:rPr>
            </w:pPr>
            <w:r>
              <w:rPr>
                <w:rFonts w:ascii="仿宋" w:hAnsi="仿宋" w:eastAsia="仿宋" w:cs="宋体"/>
                <w:color w:val="000000"/>
                <w:kern w:val="0"/>
                <w:sz w:val="24"/>
                <w:szCs w:val="24"/>
              </w:rPr>
              <w:t>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100.00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5</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垃圾房、人防楼梯</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40.88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0.00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40.88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5.1</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土建工程</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40.88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40.88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6</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变配电房</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28.80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201.31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230.10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6.1</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土建工程</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28.80 </w:t>
            </w:r>
          </w:p>
        </w:tc>
        <w:tc>
          <w:tcPr>
            <w:tcW w:w="104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28.80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6.2</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供配电及照明工程</w:t>
            </w:r>
          </w:p>
        </w:tc>
        <w:tc>
          <w:tcPr>
            <w:tcW w:w="1420" w:type="dxa"/>
            <w:tcBorders>
              <w:top w:val="single" w:color="auto" w:sz="4" w:space="0"/>
              <w:left w:val="nil"/>
              <w:bottom w:val="single" w:color="auto" w:sz="4" w:space="0"/>
              <w:right w:val="single" w:color="auto" w:sz="4" w:space="0"/>
            </w:tcBorders>
            <w:shd w:val="clear" w:color="FFFFFF"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201.31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201.31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7</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室外工程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1573.66 </w:t>
            </w:r>
          </w:p>
        </w:tc>
        <w:tc>
          <w:tcPr>
            <w:tcW w:w="1040" w:type="dxa"/>
            <w:tcBorders>
              <w:top w:val="nil"/>
              <w:left w:val="nil"/>
              <w:bottom w:val="single" w:color="auto" w:sz="4" w:space="0"/>
              <w:right w:val="single" w:color="auto" w:sz="4" w:space="0"/>
            </w:tcBorders>
            <w:shd w:val="clear" w:color="FFFFFF"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1573.66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7.1</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室外工程</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1573.66 </w:t>
            </w:r>
          </w:p>
        </w:tc>
        <w:tc>
          <w:tcPr>
            <w:tcW w:w="1040" w:type="dxa"/>
            <w:tcBorders>
              <w:top w:val="nil"/>
              <w:left w:val="nil"/>
              <w:bottom w:val="single" w:color="auto" w:sz="4" w:space="0"/>
              <w:right w:val="single" w:color="auto" w:sz="4" w:space="0"/>
            </w:tcBorders>
            <w:shd w:val="clear" w:color="FFFFFF"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000000" w:sz="4" w:space="0"/>
              <w:bottom w:val="single" w:color="000000" w:sz="4" w:space="0"/>
              <w:right w:val="single" w:color="000000"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1573.66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二</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工程建设其他费用</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14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3191.91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建设管理费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943.34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建设单位管理费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388.02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工程建设监理费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555.32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建设项目前期工作咨询费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100.48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工程勘察费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324.94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工程设计费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789.50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环境影响评价费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22.74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竣工图编制费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63.16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场地准备及临时设施费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135.39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工程保险费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81.24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垃圾处理及清运费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88.22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人防易地建设费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78.42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白蚁防治费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5.88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工程招标代理服务费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105.96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劳动安全卫生评审费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13.54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工程造价咨询服务费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439.09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14.1</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工程设计概算审核费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12.60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14.2</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工程量清单编制</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48.00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14.3</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控制价编制、审核费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72.22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14.4</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施工阶段全过程造价控制</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212.70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14.5</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竣工决算</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220" w:type="dxa"/>
            <w:tcBorders>
              <w:top w:val="nil"/>
              <w:left w:val="nil"/>
              <w:bottom w:val="single" w:color="auto" w:sz="4" w:space="0"/>
              <w:right w:val="nil"/>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142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xml:space="preserve">93.57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三</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预备费</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1513.53 </w:t>
            </w:r>
          </w:p>
        </w:tc>
      </w:tr>
      <w:tr>
        <w:tblPrEx>
          <w:tblCellMar>
            <w:top w:w="0" w:type="dxa"/>
            <w:left w:w="108" w:type="dxa"/>
            <w:bottom w:w="0" w:type="dxa"/>
            <w:right w:w="108" w:type="dxa"/>
          </w:tblCellMar>
        </w:tblPrEx>
        <w:trPr>
          <w:trHeight w:val="315" w:hRule="atLeast"/>
        </w:trPr>
        <w:tc>
          <w:tcPr>
            <w:tcW w:w="68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四</w:t>
            </w:r>
          </w:p>
        </w:tc>
        <w:tc>
          <w:tcPr>
            <w:tcW w:w="27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总投资</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19776.68 </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100.00 </w:t>
            </w:r>
          </w:p>
        </w:tc>
        <w:tc>
          <w:tcPr>
            <w:tcW w:w="12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7201.92 </w:t>
            </w:r>
          </w:p>
        </w:tc>
        <w:tc>
          <w:tcPr>
            <w:tcW w:w="1420" w:type="dxa"/>
            <w:tcBorders>
              <w:top w:val="nil"/>
              <w:left w:val="nil"/>
              <w:bottom w:val="single" w:color="auto" w:sz="4" w:space="0"/>
              <w:right w:val="single" w:color="auto" w:sz="4" w:space="0"/>
            </w:tcBorders>
            <w:shd w:val="clear" w:color="FFFFFF" w:fill="FFFFFF"/>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 xml:space="preserve">31784.04 </w:t>
            </w:r>
          </w:p>
        </w:tc>
      </w:tr>
    </w:tbl>
    <w:p>
      <w:pPr>
        <w:spacing w:line="500" w:lineRule="exact"/>
        <w:rPr>
          <w:rFonts w:ascii="宋体" w:hAnsi="宋体" w:eastAsia="宋体" w:cs="宋体"/>
          <w:b/>
          <w:bCs/>
          <w:sz w:val="28"/>
          <w:szCs w:val="44"/>
        </w:rPr>
      </w:pPr>
      <w:bookmarkStart w:id="6" w:name="_GoBack"/>
      <w:bookmarkEnd w:id="6"/>
    </w:p>
    <w:sectPr>
      <w:headerReference r:id="rId3" w:type="default"/>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tantia">
    <w:panose1 w:val="02030602050306030303"/>
    <w:charset w:val="00"/>
    <w:family w:val="roman"/>
    <w:pitch w:val="default"/>
    <w:sig w:usb0="A00002EF" w:usb1="40002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665F0"/>
    <w:multiLevelType w:val="singleLevel"/>
    <w:tmpl w:val="59F665F0"/>
    <w:lvl w:ilvl="0" w:tentative="0">
      <w:start w:val="1"/>
      <w:numFmt w:val="chineseCounting"/>
      <w:suff w:val="nothing"/>
      <w:lvlText w:val="%1、"/>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5Y2Q2ZjI4ZjZjNGIxZDkyNDI1Nzg2Mzg5MzQzZWEifQ=="/>
  </w:docVars>
  <w:rsids>
    <w:rsidRoot w:val="00E51253"/>
    <w:rsid w:val="000001BD"/>
    <w:rsid w:val="00010A92"/>
    <w:rsid w:val="00020B89"/>
    <w:rsid w:val="00037B76"/>
    <w:rsid w:val="00043561"/>
    <w:rsid w:val="00054792"/>
    <w:rsid w:val="000676BA"/>
    <w:rsid w:val="00083A68"/>
    <w:rsid w:val="00094E26"/>
    <w:rsid w:val="000A6CEA"/>
    <w:rsid w:val="000B0335"/>
    <w:rsid w:val="000B4FA6"/>
    <w:rsid w:val="000C3DDB"/>
    <w:rsid w:val="000D725F"/>
    <w:rsid w:val="000E768D"/>
    <w:rsid w:val="001017E9"/>
    <w:rsid w:val="0010491E"/>
    <w:rsid w:val="00112E61"/>
    <w:rsid w:val="00114513"/>
    <w:rsid w:val="00117F85"/>
    <w:rsid w:val="001238D5"/>
    <w:rsid w:val="00133744"/>
    <w:rsid w:val="001552B9"/>
    <w:rsid w:val="001615B0"/>
    <w:rsid w:val="001842C3"/>
    <w:rsid w:val="00184395"/>
    <w:rsid w:val="00194389"/>
    <w:rsid w:val="001B42C6"/>
    <w:rsid w:val="001C3CE7"/>
    <w:rsid w:val="001C5F31"/>
    <w:rsid w:val="001D2A38"/>
    <w:rsid w:val="001E6DFB"/>
    <w:rsid w:val="001F05DC"/>
    <w:rsid w:val="00214CCB"/>
    <w:rsid w:val="00217B11"/>
    <w:rsid w:val="00221204"/>
    <w:rsid w:val="00240C1F"/>
    <w:rsid w:val="00243FAE"/>
    <w:rsid w:val="0025549C"/>
    <w:rsid w:val="00291B61"/>
    <w:rsid w:val="002B4D27"/>
    <w:rsid w:val="002B6DA7"/>
    <w:rsid w:val="002C5E7D"/>
    <w:rsid w:val="002E6E9D"/>
    <w:rsid w:val="002F062F"/>
    <w:rsid w:val="00305D80"/>
    <w:rsid w:val="00314EA6"/>
    <w:rsid w:val="00320564"/>
    <w:rsid w:val="003207BD"/>
    <w:rsid w:val="00324316"/>
    <w:rsid w:val="0035051E"/>
    <w:rsid w:val="00360078"/>
    <w:rsid w:val="00361A59"/>
    <w:rsid w:val="0038190C"/>
    <w:rsid w:val="003A75C4"/>
    <w:rsid w:val="003B6F68"/>
    <w:rsid w:val="003F0145"/>
    <w:rsid w:val="0040052C"/>
    <w:rsid w:val="00402B5C"/>
    <w:rsid w:val="004135F1"/>
    <w:rsid w:val="00462286"/>
    <w:rsid w:val="00466E93"/>
    <w:rsid w:val="00467183"/>
    <w:rsid w:val="00483263"/>
    <w:rsid w:val="00494CC5"/>
    <w:rsid w:val="004A3DD5"/>
    <w:rsid w:val="004D0BFD"/>
    <w:rsid w:val="004F3483"/>
    <w:rsid w:val="004F3751"/>
    <w:rsid w:val="00506614"/>
    <w:rsid w:val="00511472"/>
    <w:rsid w:val="00516AA7"/>
    <w:rsid w:val="00530952"/>
    <w:rsid w:val="00537468"/>
    <w:rsid w:val="00541891"/>
    <w:rsid w:val="005452DA"/>
    <w:rsid w:val="00546D75"/>
    <w:rsid w:val="0058325D"/>
    <w:rsid w:val="00586513"/>
    <w:rsid w:val="00587379"/>
    <w:rsid w:val="00591CA1"/>
    <w:rsid w:val="005B51C0"/>
    <w:rsid w:val="005D24A5"/>
    <w:rsid w:val="005D721D"/>
    <w:rsid w:val="005D7FE3"/>
    <w:rsid w:val="005F7165"/>
    <w:rsid w:val="00601CEE"/>
    <w:rsid w:val="00605540"/>
    <w:rsid w:val="006229F2"/>
    <w:rsid w:val="00636A80"/>
    <w:rsid w:val="00644952"/>
    <w:rsid w:val="00655BD7"/>
    <w:rsid w:val="00677511"/>
    <w:rsid w:val="006846EC"/>
    <w:rsid w:val="006B1E42"/>
    <w:rsid w:val="006C0D30"/>
    <w:rsid w:val="006C28C7"/>
    <w:rsid w:val="006D0062"/>
    <w:rsid w:val="006D625D"/>
    <w:rsid w:val="006E0113"/>
    <w:rsid w:val="006E6C68"/>
    <w:rsid w:val="006F3469"/>
    <w:rsid w:val="00701A7E"/>
    <w:rsid w:val="007263CB"/>
    <w:rsid w:val="00732A80"/>
    <w:rsid w:val="00740612"/>
    <w:rsid w:val="007528B3"/>
    <w:rsid w:val="00755993"/>
    <w:rsid w:val="00762954"/>
    <w:rsid w:val="00762B78"/>
    <w:rsid w:val="00781EFE"/>
    <w:rsid w:val="007A2151"/>
    <w:rsid w:val="007A7827"/>
    <w:rsid w:val="007C537B"/>
    <w:rsid w:val="007D79C6"/>
    <w:rsid w:val="007E14E2"/>
    <w:rsid w:val="00803BB3"/>
    <w:rsid w:val="0080763F"/>
    <w:rsid w:val="00816110"/>
    <w:rsid w:val="0083389A"/>
    <w:rsid w:val="00843508"/>
    <w:rsid w:val="008727FB"/>
    <w:rsid w:val="00875F96"/>
    <w:rsid w:val="00883473"/>
    <w:rsid w:val="008C3F8E"/>
    <w:rsid w:val="00903DE1"/>
    <w:rsid w:val="00904776"/>
    <w:rsid w:val="009153A6"/>
    <w:rsid w:val="00950629"/>
    <w:rsid w:val="0096469B"/>
    <w:rsid w:val="00973123"/>
    <w:rsid w:val="009734B8"/>
    <w:rsid w:val="0099210F"/>
    <w:rsid w:val="009B520D"/>
    <w:rsid w:val="009C3421"/>
    <w:rsid w:val="009E0BDB"/>
    <w:rsid w:val="009F7F87"/>
    <w:rsid w:val="00A2365D"/>
    <w:rsid w:val="00A27D36"/>
    <w:rsid w:val="00A40AFF"/>
    <w:rsid w:val="00A47EC1"/>
    <w:rsid w:val="00A63672"/>
    <w:rsid w:val="00A70ABF"/>
    <w:rsid w:val="00A753B2"/>
    <w:rsid w:val="00A90EA3"/>
    <w:rsid w:val="00A91958"/>
    <w:rsid w:val="00AA7146"/>
    <w:rsid w:val="00AF434A"/>
    <w:rsid w:val="00B05F77"/>
    <w:rsid w:val="00B1114D"/>
    <w:rsid w:val="00B16972"/>
    <w:rsid w:val="00B44D3E"/>
    <w:rsid w:val="00B55AE3"/>
    <w:rsid w:val="00B70F4B"/>
    <w:rsid w:val="00B72560"/>
    <w:rsid w:val="00B904AC"/>
    <w:rsid w:val="00B913A0"/>
    <w:rsid w:val="00BD426C"/>
    <w:rsid w:val="00BD4ABD"/>
    <w:rsid w:val="00BD520A"/>
    <w:rsid w:val="00C049AA"/>
    <w:rsid w:val="00C10BDF"/>
    <w:rsid w:val="00C139B2"/>
    <w:rsid w:val="00C139EC"/>
    <w:rsid w:val="00C41891"/>
    <w:rsid w:val="00C75C6A"/>
    <w:rsid w:val="00CA2666"/>
    <w:rsid w:val="00CC06DB"/>
    <w:rsid w:val="00CC46B9"/>
    <w:rsid w:val="00CD2161"/>
    <w:rsid w:val="00CD3AEE"/>
    <w:rsid w:val="00CD3B44"/>
    <w:rsid w:val="00CD4B79"/>
    <w:rsid w:val="00CE06F6"/>
    <w:rsid w:val="00CE6CA5"/>
    <w:rsid w:val="00CF07F2"/>
    <w:rsid w:val="00CF4414"/>
    <w:rsid w:val="00D204E2"/>
    <w:rsid w:val="00D357B6"/>
    <w:rsid w:val="00D441C7"/>
    <w:rsid w:val="00D60387"/>
    <w:rsid w:val="00D62A96"/>
    <w:rsid w:val="00D72D0C"/>
    <w:rsid w:val="00D72D71"/>
    <w:rsid w:val="00D75CF8"/>
    <w:rsid w:val="00D844D8"/>
    <w:rsid w:val="00DC6A6D"/>
    <w:rsid w:val="00DD00AC"/>
    <w:rsid w:val="00DD0246"/>
    <w:rsid w:val="00DE3DD3"/>
    <w:rsid w:val="00DF5077"/>
    <w:rsid w:val="00E46106"/>
    <w:rsid w:val="00E51253"/>
    <w:rsid w:val="00E513EC"/>
    <w:rsid w:val="00E6663E"/>
    <w:rsid w:val="00E773DC"/>
    <w:rsid w:val="00E914C1"/>
    <w:rsid w:val="00EC55CF"/>
    <w:rsid w:val="00EF15DF"/>
    <w:rsid w:val="00EF1781"/>
    <w:rsid w:val="00EF3180"/>
    <w:rsid w:val="00F01E03"/>
    <w:rsid w:val="00F253B4"/>
    <w:rsid w:val="00F32DDB"/>
    <w:rsid w:val="00F6055F"/>
    <w:rsid w:val="00F67193"/>
    <w:rsid w:val="00F67E70"/>
    <w:rsid w:val="00F90241"/>
    <w:rsid w:val="00F9497E"/>
    <w:rsid w:val="00FA3100"/>
    <w:rsid w:val="00FA72F8"/>
    <w:rsid w:val="06B741BC"/>
    <w:rsid w:val="06E9297E"/>
    <w:rsid w:val="0C310809"/>
    <w:rsid w:val="0F3C3B2F"/>
    <w:rsid w:val="1A1B771C"/>
    <w:rsid w:val="1A837071"/>
    <w:rsid w:val="1AAE4EBB"/>
    <w:rsid w:val="20837A5B"/>
    <w:rsid w:val="21CB476F"/>
    <w:rsid w:val="22B31DD0"/>
    <w:rsid w:val="22C60E71"/>
    <w:rsid w:val="22F54ECF"/>
    <w:rsid w:val="23D55373"/>
    <w:rsid w:val="24131753"/>
    <w:rsid w:val="24972A8F"/>
    <w:rsid w:val="24B30C16"/>
    <w:rsid w:val="24F17D6D"/>
    <w:rsid w:val="293265EA"/>
    <w:rsid w:val="2AC54B59"/>
    <w:rsid w:val="2AF851D4"/>
    <w:rsid w:val="2CCB0EB8"/>
    <w:rsid w:val="325615BE"/>
    <w:rsid w:val="32FF75A5"/>
    <w:rsid w:val="33C050A5"/>
    <w:rsid w:val="354421C5"/>
    <w:rsid w:val="3BA74F1B"/>
    <w:rsid w:val="3C0E7936"/>
    <w:rsid w:val="3C6137EC"/>
    <w:rsid w:val="3D473EF1"/>
    <w:rsid w:val="4214425B"/>
    <w:rsid w:val="4335641E"/>
    <w:rsid w:val="460800F0"/>
    <w:rsid w:val="48CF7C94"/>
    <w:rsid w:val="4B030810"/>
    <w:rsid w:val="4B3E6317"/>
    <w:rsid w:val="4D32463B"/>
    <w:rsid w:val="4F575B99"/>
    <w:rsid w:val="506A3E47"/>
    <w:rsid w:val="53FC1D08"/>
    <w:rsid w:val="56A0594A"/>
    <w:rsid w:val="56FF40BE"/>
    <w:rsid w:val="59D21440"/>
    <w:rsid w:val="5BBF10ED"/>
    <w:rsid w:val="5D2602F2"/>
    <w:rsid w:val="60F95586"/>
    <w:rsid w:val="65027655"/>
    <w:rsid w:val="71BB66D5"/>
    <w:rsid w:val="772E0483"/>
    <w:rsid w:val="79BC02AC"/>
    <w:rsid w:val="7A1471E1"/>
    <w:rsid w:val="7ACA77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onstantia" w:hAnsi="Constantia"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99"/>
    <w:pPr>
      <w:ind w:firstLine="560" w:firstLineChars="200"/>
    </w:pPr>
    <w:rPr>
      <w:rFonts w:ascii="仿宋_GB2312" w:hAnsi="Times New Roman"/>
      <w:sz w:val="28"/>
      <w:szCs w:val="30"/>
    </w:rPr>
  </w:style>
  <w:style w:type="paragraph" w:styleId="3">
    <w:name w:val="footer"/>
    <w:basedOn w:val="1"/>
    <w:link w:val="15"/>
    <w:semiHidden/>
    <w:unhideWhenUsed/>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Body Text Indent Char"/>
    <w:basedOn w:val="7"/>
    <w:link w:val="2"/>
    <w:semiHidden/>
    <w:qFormat/>
    <w:locked/>
    <w:uiPriority w:val="99"/>
    <w:rPr>
      <w:rFonts w:ascii="Constantia" w:hAnsi="Constantia" w:eastAsia="仿宋_GB2312" w:cs="Times New Roman"/>
      <w:sz w:val="32"/>
      <w:szCs w:val="32"/>
    </w:rPr>
  </w:style>
  <w:style w:type="character" w:customStyle="1" w:styleId="10">
    <w:name w:val="Header Char"/>
    <w:basedOn w:val="7"/>
    <w:link w:val="4"/>
    <w:semiHidden/>
    <w:qFormat/>
    <w:locked/>
    <w:uiPriority w:val="99"/>
    <w:rPr>
      <w:rFonts w:ascii="Constantia" w:hAnsi="Constantia" w:eastAsia="仿宋_GB2312" w:cs="Times New Roman"/>
      <w:sz w:val="18"/>
      <w:szCs w:val="18"/>
    </w:rPr>
  </w:style>
  <w:style w:type="character" w:customStyle="1" w:styleId="11">
    <w:name w:val="正文文本缩进 Char"/>
    <w:basedOn w:val="7"/>
    <w:link w:val="2"/>
    <w:qFormat/>
    <w:locked/>
    <w:uiPriority w:val="99"/>
    <w:rPr>
      <w:rFonts w:ascii="仿宋_GB2312" w:hAnsi="Times New Roman" w:eastAsia="仿宋_GB2312" w:cs="Times New Roman"/>
      <w:sz w:val="30"/>
      <w:szCs w:val="30"/>
    </w:rPr>
  </w:style>
  <w:style w:type="character" w:customStyle="1" w:styleId="12">
    <w:name w:val="页眉 Char"/>
    <w:basedOn w:val="7"/>
    <w:link w:val="4"/>
    <w:qFormat/>
    <w:locked/>
    <w:uiPriority w:val="99"/>
    <w:rPr>
      <w:rFonts w:eastAsia="仿宋_GB2312" w:cs="Times New Roman"/>
      <w:sz w:val="18"/>
      <w:szCs w:val="18"/>
    </w:rPr>
  </w:style>
  <w:style w:type="character" w:customStyle="1" w:styleId="13">
    <w:name w:val="font11"/>
    <w:basedOn w:val="7"/>
    <w:qFormat/>
    <w:uiPriority w:val="0"/>
    <w:rPr>
      <w:rFonts w:hint="eastAsia" w:ascii="宋体" w:hAnsi="宋体" w:eastAsia="宋体" w:cs="宋体"/>
      <w:b/>
      <w:color w:val="000000"/>
      <w:sz w:val="22"/>
      <w:szCs w:val="22"/>
      <w:u w:val="none"/>
    </w:rPr>
  </w:style>
  <w:style w:type="character" w:customStyle="1" w:styleId="14">
    <w:name w:val="font31"/>
    <w:basedOn w:val="7"/>
    <w:qFormat/>
    <w:uiPriority w:val="0"/>
    <w:rPr>
      <w:rFonts w:hint="eastAsia" w:ascii="仿宋_GB2312" w:eastAsia="仿宋_GB2312" w:cs="仿宋_GB2312"/>
      <w:b/>
      <w:color w:val="000000"/>
      <w:sz w:val="22"/>
      <w:szCs w:val="22"/>
      <w:u w:val="none"/>
    </w:rPr>
  </w:style>
  <w:style w:type="character" w:customStyle="1" w:styleId="15">
    <w:name w:val="页脚 Char"/>
    <w:basedOn w:val="7"/>
    <w:link w:val="3"/>
    <w:semiHidden/>
    <w:uiPriority w:val="99"/>
    <w:rPr>
      <w:rFonts w:ascii="Constantia" w:hAnsi="Constantia" w:eastAsia="仿宋_GB2312"/>
      <w:kern w:val="2"/>
      <w:sz w:val="18"/>
      <w:szCs w:val="18"/>
    </w:rPr>
  </w:style>
  <w:style w:type="paragraph" w:customStyle="1" w:styleId="16">
    <w:name w:val="Table Paragraph"/>
    <w:basedOn w:val="1"/>
    <w:qFormat/>
    <w:uiPriority w:val="1"/>
    <w:pPr>
      <w:autoSpaceDE w:val="0"/>
      <w:autoSpaceDN w:val="0"/>
      <w:jc w:val="center"/>
    </w:pPr>
    <w:rPr>
      <w:rFonts w:ascii="Times New Roman" w:hAnsi="Times New Roman" w:eastAsia="Times New Roman"/>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1610</Words>
  <Characters>2498</Characters>
  <Lines>25</Lines>
  <Paragraphs>7</Paragraphs>
  <TotalTime>8</TotalTime>
  <ScaleCrop>false</ScaleCrop>
  <LinksUpToDate>false</LinksUpToDate>
  <CharactersWithSpaces>2868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2022-06-07T03:53:00Z</dcterms:created>
  <dc:creator>Windows 用户</dc:creator>
  <cp:lastModifiedBy>逆风飞翔</cp:lastModifiedBy>
  <cp:lastPrinted>2017-10-25T17:27:00Z</cp:lastPrinted>
  <dcterms:modified xsi:type="dcterms:W3CDTF">2022-11-14T02:39:10Z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02085DC89E5B4FA5BCBC39227667D1F2</vt:lpwstr>
  </property>
</Properties>
</file>