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14410" w:type="dxa"/>
        <w:jc w:val="center"/>
        <w:tblLayout w:type="fixed"/>
        <w:tblCellMar>
          <w:top w:w="0" w:type="dxa"/>
          <w:left w:w="0" w:type="dxa"/>
          <w:bottom w:w="0" w:type="dxa"/>
          <w:right w:w="0" w:type="dxa"/>
        </w:tblCellMar>
      </w:tblPr>
      <w:tblGrid>
        <w:gridCol w:w="1168"/>
        <w:gridCol w:w="2708"/>
        <w:gridCol w:w="172"/>
        <w:gridCol w:w="1"/>
        <w:gridCol w:w="101"/>
        <w:gridCol w:w="1003"/>
        <w:gridCol w:w="2004"/>
        <w:gridCol w:w="6301"/>
        <w:gridCol w:w="952"/>
      </w:tblGrid>
      <w:tr>
        <w:tblPrEx>
          <w:tblCellMar>
            <w:top w:w="0" w:type="dxa"/>
            <w:left w:w="0" w:type="dxa"/>
            <w:bottom w:w="0" w:type="dxa"/>
            <w:right w:w="0" w:type="dxa"/>
          </w:tblCellMar>
        </w:tblPrEx>
        <w:trPr>
          <w:trHeight w:val="510" w:hRule="atLeast"/>
          <w:jc w:val="center"/>
        </w:trPr>
        <w:tc>
          <w:tcPr>
            <w:tcW w:w="14410" w:type="dxa"/>
            <w:gridSpan w:val="9"/>
            <w:shd w:val="clear" w:color="auto" w:fill="auto"/>
            <w:tcMar>
              <w:top w:w="15" w:type="dxa"/>
              <w:left w:w="15" w:type="dxa"/>
              <w:bottom w:w="15" w:type="dxa"/>
              <w:right w:w="15" w:type="dxa"/>
            </w:tcMar>
            <w:vAlign w:val="center"/>
          </w:tcPr>
          <w:p>
            <w:pPr>
              <w:widowControl/>
              <w:spacing w:line="500" w:lineRule="exact"/>
              <w:textAlignment w:val="center"/>
              <w:rPr>
                <w:rFonts w:ascii="方正小标宋简体" w:hAnsi="宋体" w:eastAsia="方正小标宋简体" w:cs="宋体"/>
                <w:kern w:val="0"/>
                <w:sz w:val="32"/>
                <w:szCs w:val="32"/>
              </w:rPr>
            </w:pPr>
            <w:bookmarkStart w:id="0" w:name="_GoBack"/>
            <w:bookmarkEnd w:id="0"/>
            <w:r>
              <w:rPr>
                <w:rFonts w:hint="eastAsia" w:ascii="仿宋" w:hAnsi="仿宋" w:eastAsia="仿宋" w:cs="仿宋"/>
                <w:kern w:val="0"/>
                <w:sz w:val="28"/>
                <w:szCs w:val="28"/>
              </w:rPr>
              <w:t>附件1</w:t>
            </w:r>
            <w:r>
              <w:rPr>
                <w:rFonts w:hint="eastAsia" w:ascii="仿宋" w:hAnsi="仿宋" w:eastAsia="仿宋" w:cs="仿宋"/>
                <w:kern w:val="0"/>
                <w:sz w:val="32"/>
                <w:szCs w:val="32"/>
              </w:rPr>
              <w:tab/>
            </w:r>
            <w:r>
              <w:rPr>
                <w:rFonts w:hint="eastAsia" w:ascii="方正小标宋简体" w:hAnsi="宋体" w:eastAsia="方正小标宋简体" w:cs="宋体"/>
                <w:kern w:val="0"/>
                <w:sz w:val="32"/>
                <w:szCs w:val="32"/>
              </w:rPr>
              <w:t xml:space="preserve"> </w:t>
            </w:r>
            <w:r>
              <w:rPr>
                <w:rFonts w:hint="eastAsia" w:ascii="方正小标宋简体" w:hAnsi="宋体" w:eastAsia="方正小标宋简体" w:cs="宋体"/>
                <w:kern w:val="0"/>
                <w:sz w:val="32"/>
                <w:szCs w:val="32"/>
              </w:rPr>
              <w:tab/>
            </w:r>
            <w:r>
              <w:rPr>
                <w:rFonts w:hint="eastAsia" w:ascii="方正小标宋简体" w:hAnsi="宋体" w:eastAsia="方正小标宋简体" w:cs="宋体"/>
                <w:kern w:val="0"/>
                <w:sz w:val="32"/>
                <w:szCs w:val="32"/>
              </w:rPr>
              <w:t xml:space="preserve"> </w:t>
            </w:r>
            <w:r>
              <w:rPr>
                <w:rFonts w:hint="eastAsia" w:ascii="方正小标宋简体" w:hAnsi="宋体" w:eastAsia="方正小标宋简体" w:cs="宋体"/>
                <w:kern w:val="0"/>
                <w:sz w:val="32"/>
                <w:szCs w:val="32"/>
              </w:rPr>
              <w:tab/>
            </w:r>
            <w:r>
              <w:rPr>
                <w:rFonts w:hint="eastAsia" w:ascii="方正小标宋简体" w:hAnsi="宋体" w:eastAsia="方正小标宋简体" w:cs="宋体"/>
                <w:kern w:val="0"/>
                <w:sz w:val="32"/>
                <w:szCs w:val="32"/>
              </w:rPr>
              <w:t xml:space="preserve"> </w:t>
            </w:r>
            <w:r>
              <w:rPr>
                <w:rFonts w:hint="eastAsia" w:ascii="方正小标宋简体" w:hAnsi="宋体" w:eastAsia="方正小标宋简体" w:cs="宋体"/>
                <w:kern w:val="0"/>
                <w:sz w:val="32"/>
                <w:szCs w:val="32"/>
              </w:rPr>
              <w:tab/>
            </w:r>
          </w:p>
          <w:p>
            <w:pPr>
              <w:widowControl/>
              <w:spacing w:line="500" w:lineRule="exact"/>
              <w:jc w:val="center"/>
              <w:textAlignment w:val="center"/>
              <w:rPr>
                <w:rFonts w:ascii="宋体" w:hAnsi="宋体" w:eastAsia="宋体" w:cs="宋体"/>
                <w:b/>
                <w:kern w:val="0"/>
                <w:sz w:val="32"/>
                <w:szCs w:val="32"/>
              </w:rPr>
            </w:pPr>
            <w:r>
              <w:rPr>
                <w:rFonts w:hint="eastAsia" w:ascii="方正小标宋简体" w:hAnsi="宋体" w:eastAsia="方正小标宋简体" w:cs="宋体"/>
                <w:b/>
                <w:kern w:val="0"/>
                <w:sz w:val="32"/>
                <w:szCs w:val="32"/>
              </w:rPr>
              <w:t>不予处罚事项清单</w:t>
            </w:r>
          </w:p>
        </w:tc>
      </w:tr>
      <w:tr>
        <w:tblPrEx>
          <w:tblCellMar>
            <w:top w:w="0" w:type="dxa"/>
            <w:left w:w="0" w:type="dxa"/>
            <w:bottom w:w="0" w:type="dxa"/>
            <w:right w:w="0" w:type="dxa"/>
          </w:tblCellMar>
        </w:tblPrEx>
        <w:trPr>
          <w:trHeight w:val="510" w:hRule="atLeast"/>
          <w:jc w:val="center"/>
        </w:trPr>
        <w:tc>
          <w:tcPr>
            <w:tcW w:w="4049" w:type="dxa"/>
            <w:gridSpan w:val="4"/>
            <w:shd w:val="clear" w:color="auto" w:fill="auto"/>
            <w:tcMar>
              <w:top w:w="15" w:type="dxa"/>
              <w:left w:w="15" w:type="dxa"/>
              <w:bottom w:w="15" w:type="dxa"/>
              <w:right w:w="15" w:type="dxa"/>
            </w:tcMar>
            <w:vAlign w:val="center"/>
          </w:tcPr>
          <w:p>
            <w:pPr>
              <w:widowControl/>
              <w:spacing w:line="560" w:lineRule="atLeast"/>
              <w:textAlignment w:val="center"/>
              <w:rPr>
                <w:rFonts w:ascii="仿宋" w:hAnsi="仿宋" w:eastAsia="仿宋" w:cs="宋体"/>
                <w:kern w:val="0"/>
                <w:sz w:val="20"/>
                <w:szCs w:val="20"/>
              </w:rPr>
            </w:pPr>
            <w:r>
              <w:rPr>
                <w:rFonts w:hint="eastAsia" w:ascii="仿宋" w:hAnsi="仿宋" w:eastAsia="仿宋" w:cs="宋体"/>
                <w:kern w:val="0"/>
                <w:sz w:val="28"/>
                <w:szCs w:val="28"/>
              </w:rPr>
              <w:t>单位：（公章）</w:t>
            </w:r>
          </w:p>
        </w:tc>
        <w:tc>
          <w:tcPr>
            <w:tcW w:w="3108" w:type="dxa"/>
            <w:gridSpan w:val="3"/>
            <w:shd w:val="clear" w:color="auto" w:fill="auto"/>
            <w:tcMar>
              <w:top w:w="15" w:type="dxa"/>
              <w:left w:w="15" w:type="dxa"/>
              <w:bottom w:w="15" w:type="dxa"/>
              <w:right w:w="15" w:type="dxa"/>
            </w:tcMar>
            <w:vAlign w:val="center"/>
          </w:tcPr>
          <w:p>
            <w:pPr>
              <w:widowControl/>
              <w:spacing w:line="500" w:lineRule="exact"/>
              <w:rPr>
                <w:rFonts w:ascii="宋体" w:hAnsi="宋体" w:eastAsia="宋体" w:cs="宋体"/>
                <w:kern w:val="0"/>
                <w:sz w:val="20"/>
                <w:szCs w:val="20"/>
              </w:rPr>
            </w:pPr>
            <w:r>
              <w:rPr>
                <w:rFonts w:ascii="宋体" w:hAnsi="宋体" w:eastAsia="宋体" w:cs="宋体"/>
                <w:kern w:val="0"/>
                <w:sz w:val="20"/>
                <w:szCs w:val="20"/>
              </w:rPr>
              <w:t> </w:t>
            </w:r>
          </w:p>
        </w:tc>
        <w:tc>
          <w:tcPr>
            <w:tcW w:w="6301" w:type="dxa"/>
            <w:shd w:val="clear" w:color="auto" w:fill="auto"/>
            <w:tcMar>
              <w:top w:w="15" w:type="dxa"/>
              <w:left w:w="15" w:type="dxa"/>
              <w:bottom w:w="15" w:type="dxa"/>
              <w:right w:w="15" w:type="dxa"/>
            </w:tcMar>
            <w:vAlign w:val="center"/>
          </w:tcPr>
          <w:p>
            <w:pPr>
              <w:widowControl/>
              <w:spacing w:line="560" w:lineRule="atLeast"/>
              <w:rPr>
                <w:rFonts w:ascii="宋体" w:hAnsi="宋体" w:eastAsia="宋体" w:cs="宋体"/>
                <w:kern w:val="0"/>
                <w:sz w:val="20"/>
                <w:szCs w:val="20"/>
              </w:rPr>
            </w:pPr>
            <w:r>
              <w:rPr>
                <w:rFonts w:ascii="宋体" w:hAnsi="宋体" w:eastAsia="宋体" w:cs="宋体"/>
                <w:kern w:val="0"/>
                <w:sz w:val="20"/>
                <w:szCs w:val="20"/>
              </w:rPr>
              <w:t> </w:t>
            </w:r>
          </w:p>
        </w:tc>
        <w:tc>
          <w:tcPr>
            <w:tcW w:w="952" w:type="dxa"/>
            <w:shd w:val="clear" w:color="auto" w:fill="auto"/>
            <w:tcMar>
              <w:top w:w="15" w:type="dxa"/>
              <w:left w:w="15" w:type="dxa"/>
              <w:bottom w:w="15" w:type="dxa"/>
              <w:right w:w="15" w:type="dxa"/>
            </w:tcMar>
            <w:vAlign w:val="center"/>
          </w:tcPr>
          <w:p>
            <w:pPr>
              <w:widowControl/>
              <w:spacing w:line="560" w:lineRule="atLeast"/>
              <w:rPr>
                <w:rFonts w:ascii="宋体" w:hAnsi="宋体" w:eastAsia="宋体" w:cs="宋体"/>
                <w:kern w:val="0"/>
                <w:sz w:val="20"/>
                <w:szCs w:val="20"/>
              </w:rPr>
            </w:pPr>
            <w:r>
              <w:rPr>
                <w:rFonts w:ascii="宋体" w:hAnsi="宋体" w:eastAsia="宋体" w:cs="宋体"/>
                <w:kern w:val="0"/>
                <w:sz w:val="20"/>
                <w:szCs w:val="20"/>
              </w:rPr>
              <w:t> </w:t>
            </w:r>
          </w:p>
        </w:tc>
      </w:tr>
      <w:tr>
        <w:tblPrEx>
          <w:tblCellMar>
            <w:top w:w="0" w:type="dxa"/>
            <w:left w:w="0" w:type="dxa"/>
            <w:bottom w:w="0" w:type="dxa"/>
            <w:right w:w="0" w:type="dxa"/>
          </w:tblCellMar>
        </w:tblPrEx>
        <w:trPr>
          <w:trHeight w:val="510" w:hRule="atLeast"/>
          <w:jc w:val="center"/>
        </w:trPr>
        <w:tc>
          <w:tcPr>
            <w:tcW w:w="14410" w:type="dxa"/>
            <w:gridSpan w:val="9"/>
            <w:tcBorders>
              <w:top w:val="single" w:color="000000" w:sz="12" w:space="0"/>
              <w:left w:val="single" w:color="000000" w:sz="12" w:space="0"/>
              <w:bottom w:val="single" w:color="000000" w:sz="8" w:space="0"/>
              <w:right w:val="single" w:color="000000" w:sz="12" w:space="0"/>
            </w:tcBorders>
            <w:shd w:val="clear" w:color="auto" w:fill="auto"/>
            <w:tcMar>
              <w:top w:w="15" w:type="dxa"/>
              <w:left w:w="15" w:type="dxa"/>
              <w:bottom w:w="15" w:type="dxa"/>
              <w:right w:w="15" w:type="dxa"/>
            </w:tcMar>
            <w:vAlign w:val="center"/>
          </w:tcPr>
          <w:p>
            <w:pPr>
              <w:widowControl/>
              <w:spacing w:line="520" w:lineRule="exact"/>
              <w:jc w:val="center"/>
              <w:textAlignment w:val="center"/>
              <w:rPr>
                <w:rFonts w:ascii="黑体" w:hAnsi="黑体" w:eastAsia="黑体" w:cs="宋体"/>
                <w:kern w:val="0"/>
                <w:sz w:val="24"/>
                <w:szCs w:val="24"/>
              </w:rPr>
            </w:pPr>
            <w:r>
              <w:rPr>
                <w:rFonts w:hint="eastAsia" w:ascii="黑体" w:hAnsi="黑体" w:eastAsia="黑体" w:cs="宋体"/>
                <w:kern w:val="0"/>
                <w:sz w:val="24"/>
                <w:szCs w:val="24"/>
              </w:rPr>
              <w:t>一、下列违法行为轻微并及时改正，没有造成危害后果的，不予行政处罚</w:t>
            </w:r>
          </w:p>
        </w:tc>
      </w:tr>
      <w:tr>
        <w:tblPrEx>
          <w:tblCellMar>
            <w:top w:w="0" w:type="dxa"/>
            <w:left w:w="0" w:type="dxa"/>
            <w:bottom w:w="0" w:type="dxa"/>
            <w:right w:w="0" w:type="dxa"/>
          </w:tblCellMar>
        </w:tblPrEx>
        <w:trPr>
          <w:trHeight w:val="510" w:hRule="atLeast"/>
          <w:jc w:val="center"/>
        </w:trPr>
        <w:tc>
          <w:tcPr>
            <w:tcW w:w="1168" w:type="dxa"/>
            <w:tcBorders>
              <w:top w:val="nil"/>
              <w:left w:val="single" w:color="000000" w:sz="12" w:space="0"/>
              <w:bottom w:val="single" w:color="000000" w:sz="8" w:space="0"/>
              <w:right w:val="single" w:color="000000" w:sz="8" w:space="0"/>
            </w:tcBorders>
            <w:shd w:val="clear" w:color="auto" w:fill="auto"/>
            <w:tcMar>
              <w:top w:w="15" w:type="dxa"/>
              <w:left w:w="15" w:type="dxa"/>
              <w:bottom w:w="15" w:type="dxa"/>
              <w:right w:w="15" w:type="dxa"/>
            </w:tcMar>
            <w:vAlign w:val="center"/>
          </w:tcPr>
          <w:p>
            <w:pPr>
              <w:widowControl/>
              <w:spacing w:line="560" w:lineRule="atLeast"/>
              <w:textAlignment w:val="center"/>
              <w:rPr>
                <w:rFonts w:ascii="仿宋" w:hAnsi="仿宋" w:eastAsia="仿宋" w:cs="宋体"/>
                <w:kern w:val="0"/>
                <w:sz w:val="24"/>
                <w:szCs w:val="24"/>
              </w:rPr>
            </w:pPr>
            <w:r>
              <w:rPr>
                <w:rFonts w:hint="eastAsia" w:ascii="仿宋" w:hAnsi="仿宋" w:eastAsia="仿宋" w:cs="宋体"/>
                <w:kern w:val="0"/>
                <w:sz w:val="24"/>
                <w:szCs w:val="24"/>
              </w:rPr>
              <w:t>序号</w:t>
            </w:r>
          </w:p>
        </w:tc>
        <w:tc>
          <w:tcPr>
            <w:tcW w:w="2881" w:type="dxa"/>
            <w:gridSpan w:val="3"/>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widowControl/>
              <w:spacing w:line="520" w:lineRule="exact"/>
              <w:jc w:val="center"/>
              <w:textAlignment w:val="center"/>
              <w:rPr>
                <w:rFonts w:ascii="仿宋" w:hAnsi="仿宋" w:eastAsia="仿宋" w:cs="宋体"/>
                <w:kern w:val="0"/>
                <w:sz w:val="24"/>
                <w:szCs w:val="24"/>
              </w:rPr>
            </w:pPr>
            <w:r>
              <w:rPr>
                <w:rFonts w:hint="eastAsia" w:ascii="仿宋" w:hAnsi="仿宋" w:eastAsia="仿宋" w:cs="宋体"/>
                <w:kern w:val="0"/>
                <w:sz w:val="24"/>
                <w:szCs w:val="24"/>
              </w:rPr>
              <w:t>行政处罚事项</w:t>
            </w:r>
          </w:p>
        </w:tc>
        <w:tc>
          <w:tcPr>
            <w:tcW w:w="1104" w:type="dxa"/>
            <w:gridSpan w:val="2"/>
            <w:tcBorders>
              <w:top w:val="nil"/>
              <w:left w:val="nil"/>
              <w:bottom w:val="single" w:color="000000" w:sz="8" w:space="0"/>
              <w:right w:val="single" w:color="auto" w:sz="8" w:space="0"/>
            </w:tcBorders>
            <w:shd w:val="clear" w:color="auto" w:fill="auto"/>
            <w:tcMar>
              <w:top w:w="15" w:type="dxa"/>
              <w:left w:w="15" w:type="dxa"/>
              <w:bottom w:w="15" w:type="dxa"/>
              <w:right w:w="15" w:type="dxa"/>
            </w:tcMar>
            <w:vAlign w:val="center"/>
          </w:tcPr>
          <w:p>
            <w:pPr>
              <w:widowControl/>
              <w:spacing w:line="520" w:lineRule="exact"/>
              <w:jc w:val="center"/>
              <w:textAlignment w:val="center"/>
              <w:rPr>
                <w:rFonts w:ascii="仿宋" w:hAnsi="仿宋" w:eastAsia="仿宋" w:cs="宋体"/>
                <w:kern w:val="0"/>
                <w:sz w:val="24"/>
                <w:szCs w:val="24"/>
              </w:rPr>
            </w:pPr>
            <w:r>
              <w:rPr>
                <w:rFonts w:hint="eastAsia" w:ascii="仿宋" w:hAnsi="仿宋" w:eastAsia="仿宋" w:cs="宋体"/>
                <w:kern w:val="0"/>
                <w:sz w:val="24"/>
                <w:szCs w:val="24"/>
              </w:rPr>
              <w:t>实施机关</w:t>
            </w:r>
          </w:p>
        </w:tc>
        <w:tc>
          <w:tcPr>
            <w:tcW w:w="200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widowControl/>
              <w:spacing w:line="520" w:lineRule="exact"/>
              <w:jc w:val="center"/>
              <w:textAlignment w:val="center"/>
              <w:rPr>
                <w:rFonts w:ascii="仿宋" w:hAnsi="仿宋" w:eastAsia="仿宋" w:cs="宋体"/>
                <w:kern w:val="0"/>
                <w:sz w:val="24"/>
                <w:szCs w:val="24"/>
              </w:rPr>
            </w:pPr>
            <w:r>
              <w:rPr>
                <w:rFonts w:hint="eastAsia" w:ascii="仿宋" w:hAnsi="仿宋" w:eastAsia="仿宋" w:cs="宋体"/>
                <w:kern w:val="0"/>
                <w:sz w:val="24"/>
                <w:szCs w:val="24"/>
              </w:rPr>
              <w:t>不予处罚适用条件</w:t>
            </w:r>
          </w:p>
        </w:tc>
        <w:tc>
          <w:tcPr>
            <w:tcW w:w="6301"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widowControl/>
              <w:spacing w:line="520" w:lineRule="exact"/>
              <w:jc w:val="center"/>
              <w:textAlignment w:val="center"/>
              <w:rPr>
                <w:rFonts w:ascii="仿宋" w:hAnsi="仿宋" w:eastAsia="仿宋" w:cs="宋体"/>
                <w:kern w:val="0"/>
                <w:sz w:val="24"/>
                <w:szCs w:val="24"/>
              </w:rPr>
            </w:pPr>
            <w:r>
              <w:rPr>
                <w:rFonts w:hint="eastAsia" w:ascii="仿宋" w:hAnsi="仿宋" w:eastAsia="仿宋" w:cs="宋体"/>
                <w:kern w:val="0"/>
                <w:sz w:val="24"/>
                <w:szCs w:val="24"/>
              </w:rPr>
              <w:t>法律依据</w:t>
            </w:r>
          </w:p>
        </w:tc>
        <w:tc>
          <w:tcPr>
            <w:tcW w:w="952" w:type="dxa"/>
            <w:tcBorders>
              <w:top w:val="nil"/>
              <w:left w:val="nil"/>
              <w:bottom w:val="single" w:color="000000" w:sz="8" w:space="0"/>
              <w:right w:val="single" w:color="000000" w:sz="12" w:space="0"/>
            </w:tcBorders>
            <w:shd w:val="clear" w:color="auto" w:fill="auto"/>
            <w:tcMar>
              <w:top w:w="15" w:type="dxa"/>
              <w:left w:w="15" w:type="dxa"/>
              <w:bottom w:w="15" w:type="dxa"/>
              <w:right w:w="15" w:type="dxa"/>
            </w:tcMar>
            <w:vAlign w:val="center"/>
          </w:tcPr>
          <w:p>
            <w:pPr>
              <w:widowControl/>
              <w:spacing w:line="520" w:lineRule="exact"/>
              <w:jc w:val="center"/>
              <w:textAlignment w:val="center"/>
              <w:rPr>
                <w:rFonts w:ascii="仿宋" w:hAnsi="仿宋" w:eastAsia="仿宋" w:cs="宋体"/>
                <w:kern w:val="0"/>
                <w:sz w:val="24"/>
                <w:szCs w:val="24"/>
              </w:rPr>
            </w:pPr>
            <w:r>
              <w:rPr>
                <w:rFonts w:hint="eastAsia" w:ascii="仿宋" w:hAnsi="仿宋" w:eastAsia="仿宋" w:cs="宋体"/>
                <w:kern w:val="0"/>
                <w:sz w:val="24"/>
                <w:szCs w:val="24"/>
              </w:rPr>
              <w:t>备注</w:t>
            </w:r>
          </w:p>
        </w:tc>
      </w:tr>
      <w:tr>
        <w:tblPrEx>
          <w:tblCellMar>
            <w:top w:w="0" w:type="dxa"/>
            <w:left w:w="0" w:type="dxa"/>
            <w:bottom w:w="0" w:type="dxa"/>
            <w:right w:w="0" w:type="dxa"/>
          </w:tblCellMar>
        </w:tblPrEx>
        <w:trPr>
          <w:trHeight w:val="510" w:hRule="atLeast"/>
          <w:jc w:val="center"/>
        </w:trPr>
        <w:tc>
          <w:tcPr>
            <w:tcW w:w="1168" w:type="dxa"/>
            <w:tcBorders>
              <w:top w:val="nil"/>
              <w:left w:val="single" w:color="000000" w:sz="12" w:space="0"/>
              <w:bottom w:val="single" w:color="000000" w:sz="8" w:space="0"/>
              <w:right w:val="single" w:color="000000" w:sz="8" w:space="0"/>
            </w:tcBorders>
            <w:shd w:val="clear" w:color="auto" w:fill="auto"/>
            <w:tcMar>
              <w:top w:w="15" w:type="dxa"/>
              <w:left w:w="15" w:type="dxa"/>
              <w:bottom w:w="15" w:type="dxa"/>
              <w:right w:w="15" w:type="dxa"/>
            </w:tcMar>
            <w:vAlign w:val="center"/>
          </w:tcPr>
          <w:p>
            <w:pPr>
              <w:widowControl/>
              <w:spacing w:line="560" w:lineRule="atLeast"/>
              <w:rPr>
                <w:rFonts w:ascii="仿宋" w:hAnsi="仿宋" w:eastAsia="仿宋" w:cs="宋体"/>
                <w:kern w:val="0"/>
                <w:sz w:val="24"/>
                <w:szCs w:val="24"/>
              </w:rPr>
            </w:pPr>
            <w:r>
              <w:rPr>
                <w:rFonts w:ascii="宋体" w:hAnsi="宋体" w:eastAsia="仿宋" w:cs="宋体"/>
                <w:kern w:val="0"/>
                <w:sz w:val="24"/>
                <w:szCs w:val="24"/>
              </w:rPr>
              <w:t> </w:t>
            </w:r>
          </w:p>
        </w:tc>
        <w:tc>
          <w:tcPr>
            <w:tcW w:w="2881" w:type="dxa"/>
            <w:gridSpan w:val="3"/>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widowControl/>
              <w:spacing w:line="520" w:lineRule="exact"/>
              <w:jc w:val="center"/>
              <w:rPr>
                <w:rFonts w:hint="eastAsia" w:ascii="仿宋" w:hAnsi="仿宋" w:eastAsia="仿宋" w:cs="宋体"/>
                <w:kern w:val="0"/>
                <w:sz w:val="24"/>
                <w:szCs w:val="24"/>
                <w:lang w:val="en-US" w:eastAsia="zh-CN"/>
              </w:rPr>
            </w:pPr>
            <w:r>
              <w:rPr>
                <w:rFonts w:hint="eastAsia" w:ascii="仿宋" w:hAnsi="仿宋" w:eastAsia="仿宋" w:cs="宋体"/>
                <w:kern w:val="0"/>
                <w:sz w:val="24"/>
                <w:szCs w:val="24"/>
                <w:lang w:val="en-US" w:eastAsia="zh-CN"/>
              </w:rPr>
              <w:t>无</w:t>
            </w:r>
          </w:p>
        </w:tc>
        <w:tc>
          <w:tcPr>
            <w:tcW w:w="1104" w:type="dxa"/>
            <w:gridSpan w:val="2"/>
            <w:tcBorders>
              <w:top w:val="nil"/>
              <w:left w:val="nil"/>
              <w:bottom w:val="single" w:color="000000" w:sz="8" w:space="0"/>
              <w:right w:val="single" w:color="auto" w:sz="8" w:space="0"/>
            </w:tcBorders>
            <w:shd w:val="clear" w:color="auto" w:fill="auto"/>
            <w:tcMar>
              <w:top w:w="15" w:type="dxa"/>
              <w:left w:w="15" w:type="dxa"/>
              <w:bottom w:w="15" w:type="dxa"/>
              <w:right w:w="15" w:type="dxa"/>
            </w:tcMar>
            <w:vAlign w:val="center"/>
          </w:tcPr>
          <w:p>
            <w:pPr>
              <w:widowControl/>
              <w:spacing w:line="520" w:lineRule="exact"/>
              <w:jc w:val="center"/>
              <w:rPr>
                <w:rFonts w:ascii="仿宋" w:hAnsi="仿宋" w:eastAsia="仿宋" w:cs="宋体"/>
                <w:kern w:val="0"/>
                <w:sz w:val="24"/>
                <w:szCs w:val="24"/>
              </w:rPr>
            </w:pPr>
          </w:p>
        </w:tc>
        <w:tc>
          <w:tcPr>
            <w:tcW w:w="200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widowControl/>
              <w:spacing w:line="520" w:lineRule="exact"/>
              <w:jc w:val="center"/>
              <w:rPr>
                <w:rFonts w:ascii="仿宋" w:hAnsi="仿宋" w:eastAsia="仿宋" w:cs="宋体"/>
                <w:kern w:val="0"/>
                <w:sz w:val="24"/>
                <w:szCs w:val="24"/>
              </w:rPr>
            </w:pPr>
          </w:p>
        </w:tc>
        <w:tc>
          <w:tcPr>
            <w:tcW w:w="6301"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widowControl/>
              <w:spacing w:line="520" w:lineRule="exact"/>
              <w:jc w:val="center"/>
              <w:rPr>
                <w:rFonts w:ascii="仿宋" w:hAnsi="仿宋" w:eastAsia="仿宋" w:cs="宋体"/>
                <w:kern w:val="0"/>
                <w:sz w:val="24"/>
                <w:szCs w:val="24"/>
              </w:rPr>
            </w:pPr>
          </w:p>
        </w:tc>
        <w:tc>
          <w:tcPr>
            <w:tcW w:w="952" w:type="dxa"/>
            <w:tcBorders>
              <w:top w:val="nil"/>
              <w:left w:val="nil"/>
              <w:bottom w:val="single" w:color="000000" w:sz="8" w:space="0"/>
              <w:right w:val="single" w:color="000000" w:sz="12" w:space="0"/>
            </w:tcBorders>
            <w:shd w:val="clear" w:color="auto" w:fill="auto"/>
            <w:tcMar>
              <w:top w:w="15" w:type="dxa"/>
              <w:left w:w="15" w:type="dxa"/>
              <w:bottom w:w="15" w:type="dxa"/>
              <w:right w:w="15" w:type="dxa"/>
            </w:tcMar>
            <w:vAlign w:val="center"/>
          </w:tcPr>
          <w:p>
            <w:pPr>
              <w:widowControl/>
              <w:spacing w:line="520" w:lineRule="exact"/>
              <w:jc w:val="center"/>
              <w:rPr>
                <w:rFonts w:ascii="仿宋" w:hAnsi="仿宋" w:eastAsia="仿宋" w:cs="宋体"/>
                <w:kern w:val="0"/>
                <w:sz w:val="24"/>
                <w:szCs w:val="24"/>
              </w:rPr>
            </w:pPr>
          </w:p>
        </w:tc>
      </w:tr>
      <w:tr>
        <w:tblPrEx>
          <w:tblCellMar>
            <w:top w:w="0" w:type="dxa"/>
            <w:left w:w="0" w:type="dxa"/>
            <w:bottom w:w="0" w:type="dxa"/>
            <w:right w:w="0" w:type="dxa"/>
          </w:tblCellMar>
        </w:tblPrEx>
        <w:trPr>
          <w:trHeight w:val="510" w:hRule="atLeast"/>
          <w:jc w:val="center"/>
        </w:trPr>
        <w:tc>
          <w:tcPr>
            <w:tcW w:w="1168" w:type="dxa"/>
            <w:tcBorders>
              <w:top w:val="nil"/>
              <w:left w:val="single" w:color="000000" w:sz="12" w:space="0"/>
              <w:bottom w:val="single" w:color="000000" w:sz="8" w:space="0"/>
              <w:right w:val="single" w:color="000000" w:sz="8" w:space="0"/>
            </w:tcBorders>
            <w:shd w:val="clear" w:color="auto" w:fill="auto"/>
            <w:tcMar>
              <w:top w:w="15" w:type="dxa"/>
              <w:left w:w="15" w:type="dxa"/>
              <w:bottom w:w="15" w:type="dxa"/>
              <w:right w:w="15" w:type="dxa"/>
            </w:tcMar>
            <w:vAlign w:val="center"/>
          </w:tcPr>
          <w:p>
            <w:pPr>
              <w:widowControl/>
              <w:spacing w:line="560" w:lineRule="atLeast"/>
              <w:rPr>
                <w:rFonts w:ascii="仿宋" w:hAnsi="仿宋" w:eastAsia="仿宋" w:cs="宋体"/>
                <w:kern w:val="0"/>
                <w:sz w:val="24"/>
                <w:szCs w:val="24"/>
              </w:rPr>
            </w:pPr>
            <w:r>
              <w:rPr>
                <w:rFonts w:ascii="宋体" w:hAnsi="宋体" w:eastAsia="仿宋" w:cs="宋体"/>
                <w:kern w:val="0"/>
                <w:sz w:val="24"/>
                <w:szCs w:val="24"/>
              </w:rPr>
              <w:t> </w:t>
            </w:r>
          </w:p>
        </w:tc>
        <w:tc>
          <w:tcPr>
            <w:tcW w:w="2881" w:type="dxa"/>
            <w:gridSpan w:val="3"/>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widowControl/>
              <w:spacing w:line="520" w:lineRule="exact"/>
              <w:jc w:val="center"/>
              <w:rPr>
                <w:rFonts w:ascii="仿宋" w:hAnsi="仿宋" w:eastAsia="仿宋" w:cs="宋体"/>
                <w:kern w:val="0"/>
                <w:sz w:val="24"/>
                <w:szCs w:val="24"/>
              </w:rPr>
            </w:pPr>
          </w:p>
        </w:tc>
        <w:tc>
          <w:tcPr>
            <w:tcW w:w="1104" w:type="dxa"/>
            <w:gridSpan w:val="2"/>
            <w:tcBorders>
              <w:top w:val="nil"/>
              <w:left w:val="nil"/>
              <w:bottom w:val="single" w:color="000000" w:sz="8" w:space="0"/>
              <w:right w:val="single" w:color="auto" w:sz="8" w:space="0"/>
            </w:tcBorders>
            <w:shd w:val="clear" w:color="auto" w:fill="auto"/>
            <w:tcMar>
              <w:top w:w="15" w:type="dxa"/>
              <w:left w:w="15" w:type="dxa"/>
              <w:bottom w:w="15" w:type="dxa"/>
              <w:right w:w="15" w:type="dxa"/>
            </w:tcMar>
            <w:vAlign w:val="center"/>
          </w:tcPr>
          <w:p>
            <w:pPr>
              <w:widowControl/>
              <w:spacing w:line="520" w:lineRule="exact"/>
              <w:jc w:val="center"/>
              <w:rPr>
                <w:rFonts w:ascii="仿宋" w:hAnsi="仿宋" w:eastAsia="仿宋" w:cs="宋体"/>
                <w:kern w:val="0"/>
                <w:sz w:val="24"/>
                <w:szCs w:val="24"/>
              </w:rPr>
            </w:pPr>
          </w:p>
        </w:tc>
        <w:tc>
          <w:tcPr>
            <w:tcW w:w="200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widowControl/>
              <w:spacing w:line="520" w:lineRule="exact"/>
              <w:jc w:val="center"/>
              <w:rPr>
                <w:rFonts w:ascii="仿宋" w:hAnsi="仿宋" w:eastAsia="仿宋" w:cs="宋体"/>
                <w:kern w:val="0"/>
                <w:sz w:val="24"/>
                <w:szCs w:val="24"/>
              </w:rPr>
            </w:pPr>
          </w:p>
        </w:tc>
        <w:tc>
          <w:tcPr>
            <w:tcW w:w="6301"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widowControl/>
              <w:spacing w:line="520" w:lineRule="exact"/>
              <w:jc w:val="center"/>
              <w:rPr>
                <w:rFonts w:ascii="仿宋" w:hAnsi="仿宋" w:eastAsia="仿宋" w:cs="宋体"/>
                <w:kern w:val="0"/>
                <w:sz w:val="24"/>
                <w:szCs w:val="24"/>
              </w:rPr>
            </w:pPr>
          </w:p>
        </w:tc>
        <w:tc>
          <w:tcPr>
            <w:tcW w:w="952" w:type="dxa"/>
            <w:tcBorders>
              <w:top w:val="nil"/>
              <w:left w:val="nil"/>
              <w:bottom w:val="single" w:color="000000" w:sz="8" w:space="0"/>
              <w:right w:val="single" w:color="000000" w:sz="12" w:space="0"/>
            </w:tcBorders>
            <w:shd w:val="clear" w:color="auto" w:fill="auto"/>
            <w:tcMar>
              <w:top w:w="15" w:type="dxa"/>
              <w:left w:w="15" w:type="dxa"/>
              <w:bottom w:w="15" w:type="dxa"/>
              <w:right w:w="15" w:type="dxa"/>
            </w:tcMar>
            <w:vAlign w:val="center"/>
          </w:tcPr>
          <w:p>
            <w:pPr>
              <w:widowControl/>
              <w:spacing w:line="520" w:lineRule="exact"/>
              <w:jc w:val="center"/>
              <w:rPr>
                <w:rFonts w:ascii="仿宋" w:hAnsi="仿宋" w:eastAsia="仿宋" w:cs="宋体"/>
                <w:kern w:val="0"/>
                <w:sz w:val="24"/>
                <w:szCs w:val="24"/>
              </w:rPr>
            </w:pPr>
          </w:p>
        </w:tc>
      </w:tr>
      <w:tr>
        <w:tblPrEx>
          <w:tblCellMar>
            <w:top w:w="0" w:type="dxa"/>
            <w:left w:w="0" w:type="dxa"/>
            <w:bottom w:w="0" w:type="dxa"/>
            <w:right w:w="0" w:type="dxa"/>
          </w:tblCellMar>
        </w:tblPrEx>
        <w:trPr>
          <w:trHeight w:val="510" w:hRule="atLeast"/>
          <w:jc w:val="center"/>
        </w:trPr>
        <w:tc>
          <w:tcPr>
            <w:tcW w:w="14410" w:type="dxa"/>
            <w:gridSpan w:val="9"/>
            <w:tcBorders>
              <w:top w:val="nil"/>
              <w:left w:val="single" w:color="000000" w:sz="12" w:space="0"/>
              <w:bottom w:val="single" w:color="000000" w:sz="8" w:space="0"/>
              <w:right w:val="single" w:color="000000" w:sz="12" w:space="0"/>
            </w:tcBorders>
            <w:shd w:val="clear" w:color="auto" w:fill="auto"/>
            <w:tcMar>
              <w:top w:w="15" w:type="dxa"/>
              <w:left w:w="15" w:type="dxa"/>
              <w:bottom w:w="15" w:type="dxa"/>
              <w:right w:w="15" w:type="dxa"/>
            </w:tcMar>
            <w:vAlign w:val="center"/>
          </w:tcPr>
          <w:p>
            <w:pPr>
              <w:widowControl/>
              <w:spacing w:line="520" w:lineRule="exact"/>
              <w:jc w:val="center"/>
              <w:textAlignment w:val="center"/>
              <w:rPr>
                <w:rFonts w:ascii="黑体" w:hAnsi="黑体" w:eastAsia="黑体" w:cs="宋体"/>
                <w:kern w:val="0"/>
                <w:sz w:val="24"/>
                <w:szCs w:val="24"/>
              </w:rPr>
            </w:pPr>
            <w:r>
              <w:rPr>
                <w:rFonts w:hint="eastAsia" w:ascii="黑体" w:hAnsi="黑体" w:eastAsia="黑体" w:cs="宋体"/>
                <w:kern w:val="0"/>
                <w:sz w:val="24"/>
                <w:szCs w:val="24"/>
              </w:rPr>
              <w:t>二、下列违法行为初次违法且危害后果轻微并及时改正的，不予行政处罚</w:t>
            </w:r>
          </w:p>
        </w:tc>
      </w:tr>
      <w:tr>
        <w:tblPrEx>
          <w:tblCellMar>
            <w:top w:w="0" w:type="dxa"/>
            <w:left w:w="0" w:type="dxa"/>
            <w:bottom w:w="0" w:type="dxa"/>
            <w:right w:w="0" w:type="dxa"/>
          </w:tblCellMar>
        </w:tblPrEx>
        <w:trPr>
          <w:trHeight w:val="510" w:hRule="atLeast"/>
          <w:jc w:val="center"/>
        </w:trPr>
        <w:tc>
          <w:tcPr>
            <w:tcW w:w="1168" w:type="dxa"/>
            <w:tcBorders>
              <w:top w:val="nil"/>
              <w:left w:val="single" w:color="000000" w:sz="12" w:space="0"/>
              <w:bottom w:val="single" w:color="000000" w:sz="8" w:space="0"/>
              <w:right w:val="single" w:color="000000" w:sz="8" w:space="0"/>
            </w:tcBorders>
            <w:shd w:val="clear" w:color="auto" w:fill="auto"/>
            <w:tcMar>
              <w:top w:w="15" w:type="dxa"/>
              <w:left w:w="15" w:type="dxa"/>
              <w:bottom w:w="15" w:type="dxa"/>
              <w:right w:w="15" w:type="dxa"/>
            </w:tcMar>
            <w:vAlign w:val="center"/>
          </w:tcPr>
          <w:p>
            <w:pPr>
              <w:widowControl/>
              <w:spacing w:line="560" w:lineRule="atLeast"/>
              <w:textAlignment w:val="center"/>
              <w:rPr>
                <w:rFonts w:ascii="仿宋" w:hAnsi="仿宋" w:eastAsia="仿宋" w:cs="宋体"/>
                <w:kern w:val="0"/>
                <w:sz w:val="24"/>
                <w:szCs w:val="24"/>
              </w:rPr>
            </w:pPr>
            <w:r>
              <w:rPr>
                <w:rFonts w:hint="eastAsia" w:ascii="仿宋" w:hAnsi="仿宋" w:eastAsia="仿宋" w:cs="宋体"/>
                <w:kern w:val="0"/>
                <w:sz w:val="24"/>
                <w:szCs w:val="24"/>
              </w:rPr>
              <w:t>序号</w:t>
            </w:r>
          </w:p>
        </w:tc>
        <w:tc>
          <w:tcPr>
            <w:tcW w:w="2881" w:type="dxa"/>
            <w:gridSpan w:val="3"/>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widowControl/>
              <w:spacing w:line="520" w:lineRule="exact"/>
              <w:jc w:val="center"/>
              <w:textAlignment w:val="center"/>
              <w:rPr>
                <w:rFonts w:ascii="仿宋" w:hAnsi="仿宋" w:eastAsia="仿宋" w:cs="宋体"/>
                <w:kern w:val="0"/>
                <w:sz w:val="24"/>
                <w:szCs w:val="24"/>
              </w:rPr>
            </w:pPr>
            <w:r>
              <w:rPr>
                <w:rFonts w:hint="eastAsia" w:ascii="仿宋" w:hAnsi="仿宋" w:eastAsia="仿宋" w:cs="宋体"/>
                <w:kern w:val="0"/>
                <w:sz w:val="24"/>
                <w:szCs w:val="24"/>
              </w:rPr>
              <w:t>行政处罚事项</w:t>
            </w:r>
          </w:p>
        </w:tc>
        <w:tc>
          <w:tcPr>
            <w:tcW w:w="1104" w:type="dxa"/>
            <w:gridSpan w:val="2"/>
            <w:tcBorders>
              <w:top w:val="nil"/>
              <w:left w:val="nil"/>
              <w:bottom w:val="single" w:color="000000" w:sz="8" w:space="0"/>
              <w:right w:val="single" w:color="auto" w:sz="8" w:space="0"/>
            </w:tcBorders>
            <w:shd w:val="clear" w:color="auto" w:fill="auto"/>
            <w:tcMar>
              <w:top w:w="15" w:type="dxa"/>
              <w:left w:w="15" w:type="dxa"/>
              <w:bottom w:w="15" w:type="dxa"/>
              <w:right w:w="15" w:type="dxa"/>
            </w:tcMar>
            <w:vAlign w:val="center"/>
          </w:tcPr>
          <w:p>
            <w:pPr>
              <w:widowControl/>
              <w:spacing w:line="520" w:lineRule="exact"/>
              <w:jc w:val="center"/>
              <w:textAlignment w:val="center"/>
              <w:rPr>
                <w:rFonts w:ascii="仿宋" w:hAnsi="仿宋" w:eastAsia="仿宋" w:cs="宋体"/>
                <w:kern w:val="0"/>
                <w:sz w:val="24"/>
                <w:szCs w:val="24"/>
              </w:rPr>
            </w:pPr>
            <w:r>
              <w:rPr>
                <w:rFonts w:hint="eastAsia" w:ascii="仿宋" w:hAnsi="仿宋" w:eastAsia="仿宋" w:cs="宋体"/>
                <w:kern w:val="0"/>
                <w:sz w:val="24"/>
                <w:szCs w:val="24"/>
              </w:rPr>
              <w:t>实施机关</w:t>
            </w:r>
          </w:p>
        </w:tc>
        <w:tc>
          <w:tcPr>
            <w:tcW w:w="200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widowControl/>
              <w:spacing w:line="520" w:lineRule="exact"/>
              <w:jc w:val="center"/>
              <w:textAlignment w:val="center"/>
              <w:rPr>
                <w:rFonts w:ascii="仿宋" w:hAnsi="仿宋" w:eastAsia="仿宋" w:cs="宋体"/>
                <w:kern w:val="0"/>
                <w:sz w:val="24"/>
                <w:szCs w:val="24"/>
              </w:rPr>
            </w:pPr>
            <w:r>
              <w:rPr>
                <w:rFonts w:hint="eastAsia" w:ascii="仿宋" w:hAnsi="仿宋" w:eastAsia="仿宋" w:cs="宋体"/>
                <w:kern w:val="0"/>
                <w:sz w:val="24"/>
                <w:szCs w:val="24"/>
              </w:rPr>
              <w:t>不予处罚适用条件</w:t>
            </w:r>
          </w:p>
        </w:tc>
        <w:tc>
          <w:tcPr>
            <w:tcW w:w="6301"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widowControl/>
              <w:spacing w:line="520" w:lineRule="exact"/>
              <w:jc w:val="center"/>
              <w:textAlignment w:val="center"/>
              <w:rPr>
                <w:rFonts w:ascii="仿宋" w:hAnsi="仿宋" w:eastAsia="仿宋" w:cs="宋体"/>
                <w:kern w:val="0"/>
                <w:sz w:val="24"/>
                <w:szCs w:val="24"/>
              </w:rPr>
            </w:pPr>
            <w:r>
              <w:rPr>
                <w:rFonts w:hint="eastAsia" w:ascii="仿宋" w:hAnsi="仿宋" w:eastAsia="仿宋" w:cs="宋体"/>
                <w:kern w:val="0"/>
                <w:sz w:val="24"/>
                <w:szCs w:val="24"/>
              </w:rPr>
              <w:t>法律依据</w:t>
            </w:r>
          </w:p>
        </w:tc>
        <w:tc>
          <w:tcPr>
            <w:tcW w:w="952" w:type="dxa"/>
            <w:tcBorders>
              <w:top w:val="nil"/>
              <w:left w:val="nil"/>
              <w:bottom w:val="single" w:color="000000" w:sz="8" w:space="0"/>
              <w:right w:val="single" w:color="000000" w:sz="12" w:space="0"/>
            </w:tcBorders>
            <w:shd w:val="clear" w:color="auto" w:fill="auto"/>
            <w:tcMar>
              <w:top w:w="15" w:type="dxa"/>
              <w:left w:w="15" w:type="dxa"/>
              <w:bottom w:w="15" w:type="dxa"/>
              <w:right w:w="15" w:type="dxa"/>
            </w:tcMar>
            <w:vAlign w:val="center"/>
          </w:tcPr>
          <w:p>
            <w:pPr>
              <w:widowControl/>
              <w:spacing w:line="520" w:lineRule="exact"/>
              <w:jc w:val="center"/>
              <w:textAlignment w:val="center"/>
              <w:rPr>
                <w:rFonts w:ascii="仿宋" w:hAnsi="仿宋" w:eastAsia="仿宋" w:cs="宋体"/>
                <w:kern w:val="0"/>
                <w:sz w:val="24"/>
                <w:szCs w:val="24"/>
              </w:rPr>
            </w:pPr>
            <w:r>
              <w:rPr>
                <w:rFonts w:hint="eastAsia" w:ascii="仿宋" w:hAnsi="仿宋" w:eastAsia="仿宋" w:cs="宋体"/>
                <w:kern w:val="0"/>
                <w:sz w:val="24"/>
                <w:szCs w:val="24"/>
              </w:rPr>
              <w:t>备注</w:t>
            </w:r>
          </w:p>
        </w:tc>
      </w:tr>
      <w:tr>
        <w:tblPrEx>
          <w:tblCellMar>
            <w:top w:w="0" w:type="dxa"/>
            <w:left w:w="0" w:type="dxa"/>
            <w:bottom w:w="0" w:type="dxa"/>
            <w:right w:w="0" w:type="dxa"/>
          </w:tblCellMar>
        </w:tblPrEx>
        <w:trPr>
          <w:trHeight w:val="510" w:hRule="atLeast"/>
          <w:jc w:val="center"/>
        </w:trPr>
        <w:tc>
          <w:tcPr>
            <w:tcW w:w="1168" w:type="dxa"/>
            <w:tcBorders>
              <w:top w:val="nil"/>
              <w:left w:val="single" w:color="000000" w:sz="12" w:space="0"/>
              <w:bottom w:val="single" w:color="000000" w:sz="8" w:space="0"/>
              <w:right w:val="single" w:color="000000" w:sz="8" w:space="0"/>
            </w:tcBorders>
            <w:shd w:val="clear" w:color="auto" w:fill="auto"/>
            <w:tcMar>
              <w:top w:w="15" w:type="dxa"/>
              <w:left w:w="15" w:type="dxa"/>
              <w:bottom w:w="15" w:type="dxa"/>
              <w:right w:w="15" w:type="dxa"/>
            </w:tcMar>
            <w:vAlign w:val="center"/>
          </w:tcPr>
          <w:p>
            <w:pPr>
              <w:widowControl/>
              <w:spacing w:line="560" w:lineRule="atLeast"/>
              <w:rPr>
                <w:rFonts w:ascii="仿宋" w:hAnsi="仿宋" w:eastAsia="仿宋" w:cs="宋体"/>
                <w:kern w:val="0"/>
                <w:sz w:val="24"/>
                <w:szCs w:val="24"/>
              </w:rPr>
            </w:pPr>
            <w:r>
              <w:rPr>
                <w:rFonts w:ascii="宋体" w:hAnsi="宋体" w:eastAsia="仿宋" w:cs="宋体"/>
                <w:kern w:val="0"/>
                <w:sz w:val="24"/>
                <w:szCs w:val="24"/>
              </w:rPr>
              <w:t> </w:t>
            </w:r>
          </w:p>
        </w:tc>
        <w:tc>
          <w:tcPr>
            <w:tcW w:w="2881" w:type="dxa"/>
            <w:gridSpan w:val="3"/>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widowControl/>
              <w:spacing w:line="520" w:lineRule="exact"/>
              <w:jc w:val="center"/>
              <w:rPr>
                <w:rFonts w:hint="eastAsia" w:ascii="仿宋" w:hAnsi="仿宋" w:eastAsia="仿宋" w:cs="宋体"/>
                <w:kern w:val="0"/>
                <w:sz w:val="24"/>
                <w:szCs w:val="24"/>
                <w:lang w:eastAsia="zh-CN"/>
              </w:rPr>
            </w:pPr>
            <w:r>
              <w:rPr>
                <w:rFonts w:hint="eastAsia" w:ascii="仿宋" w:hAnsi="仿宋" w:eastAsia="仿宋" w:cs="宋体"/>
                <w:kern w:val="0"/>
                <w:sz w:val="24"/>
                <w:szCs w:val="24"/>
                <w:lang w:eastAsia="zh-CN"/>
              </w:rPr>
              <w:t>无</w:t>
            </w:r>
          </w:p>
        </w:tc>
        <w:tc>
          <w:tcPr>
            <w:tcW w:w="1104" w:type="dxa"/>
            <w:gridSpan w:val="2"/>
            <w:tcBorders>
              <w:top w:val="nil"/>
              <w:left w:val="nil"/>
              <w:bottom w:val="single" w:color="000000" w:sz="8" w:space="0"/>
              <w:right w:val="single" w:color="auto" w:sz="8" w:space="0"/>
            </w:tcBorders>
            <w:shd w:val="clear" w:color="auto" w:fill="auto"/>
            <w:tcMar>
              <w:top w:w="15" w:type="dxa"/>
              <w:left w:w="15" w:type="dxa"/>
              <w:bottom w:w="15" w:type="dxa"/>
              <w:right w:w="15" w:type="dxa"/>
            </w:tcMar>
            <w:vAlign w:val="center"/>
          </w:tcPr>
          <w:p>
            <w:pPr>
              <w:widowControl/>
              <w:spacing w:line="520" w:lineRule="exact"/>
              <w:jc w:val="center"/>
              <w:rPr>
                <w:rFonts w:ascii="仿宋" w:hAnsi="仿宋" w:eastAsia="仿宋" w:cs="宋体"/>
                <w:kern w:val="0"/>
                <w:sz w:val="24"/>
                <w:szCs w:val="24"/>
              </w:rPr>
            </w:pPr>
          </w:p>
        </w:tc>
        <w:tc>
          <w:tcPr>
            <w:tcW w:w="200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widowControl/>
              <w:spacing w:line="520" w:lineRule="exact"/>
              <w:jc w:val="center"/>
              <w:rPr>
                <w:rFonts w:ascii="仿宋" w:hAnsi="仿宋" w:eastAsia="仿宋" w:cs="宋体"/>
                <w:kern w:val="0"/>
                <w:sz w:val="24"/>
                <w:szCs w:val="24"/>
              </w:rPr>
            </w:pPr>
          </w:p>
        </w:tc>
        <w:tc>
          <w:tcPr>
            <w:tcW w:w="6301"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widowControl/>
              <w:spacing w:line="520" w:lineRule="exact"/>
              <w:jc w:val="center"/>
              <w:rPr>
                <w:rFonts w:ascii="仿宋" w:hAnsi="仿宋" w:eastAsia="仿宋" w:cs="宋体"/>
                <w:kern w:val="0"/>
                <w:sz w:val="24"/>
                <w:szCs w:val="24"/>
              </w:rPr>
            </w:pPr>
          </w:p>
        </w:tc>
        <w:tc>
          <w:tcPr>
            <w:tcW w:w="952" w:type="dxa"/>
            <w:tcBorders>
              <w:top w:val="nil"/>
              <w:left w:val="nil"/>
              <w:bottom w:val="single" w:color="000000" w:sz="8" w:space="0"/>
              <w:right w:val="single" w:color="000000" w:sz="12" w:space="0"/>
            </w:tcBorders>
            <w:shd w:val="clear" w:color="auto" w:fill="auto"/>
            <w:tcMar>
              <w:top w:w="15" w:type="dxa"/>
              <w:left w:w="15" w:type="dxa"/>
              <w:bottom w:w="15" w:type="dxa"/>
              <w:right w:w="15" w:type="dxa"/>
            </w:tcMar>
            <w:vAlign w:val="center"/>
          </w:tcPr>
          <w:p>
            <w:pPr>
              <w:widowControl/>
              <w:spacing w:line="520" w:lineRule="exact"/>
              <w:jc w:val="center"/>
              <w:rPr>
                <w:rFonts w:ascii="仿宋" w:hAnsi="仿宋" w:eastAsia="仿宋" w:cs="宋体"/>
                <w:kern w:val="0"/>
                <w:sz w:val="24"/>
                <w:szCs w:val="24"/>
              </w:rPr>
            </w:pPr>
          </w:p>
        </w:tc>
      </w:tr>
      <w:tr>
        <w:tblPrEx>
          <w:tblCellMar>
            <w:top w:w="0" w:type="dxa"/>
            <w:left w:w="0" w:type="dxa"/>
            <w:bottom w:w="0" w:type="dxa"/>
            <w:right w:w="0" w:type="dxa"/>
          </w:tblCellMar>
        </w:tblPrEx>
        <w:trPr>
          <w:trHeight w:val="510" w:hRule="atLeast"/>
          <w:jc w:val="center"/>
        </w:trPr>
        <w:tc>
          <w:tcPr>
            <w:tcW w:w="1168" w:type="dxa"/>
            <w:tcBorders>
              <w:top w:val="nil"/>
              <w:left w:val="single" w:color="000000" w:sz="12" w:space="0"/>
              <w:bottom w:val="single" w:color="000000" w:sz="8" w:space="0"/>
              <w:right w:val="single" w:color="000000" w:sz="8" w:space="0"/>
            </w:tcBorders>
            <w:shd w:val="clear" w:color="auto" w:fill="auto"/>
            <w:tcMar>
              <w:top w:w="15" w:type="dxa"/>
              <w:left w:w="15" w:type="dxa"/>
              <w:bottom w:w="15" w:type="dxa"/>
              <w:right w:w="15" w:type="dxa"/>
            </w:tcMar>
            <w:vAlign w:val="center"/>
          </w:tcPr>
          <w:p>
            <w:pPr>
              <w:widowControl/>
              <w:spacing w:line="560" w:lineRule="atLeast"/>
              <w:rPr>
                <w:rFonts w:ascii="仿宋" w:hAnsi="仿宋" w:eastAsia="仿宋" w:cs="宋体"/>
                <w:kern w:val="0"/>
                <w:sz w:val="24"/>
                <w:szCs w:val="24"/>
              </w:rPr>
            </w:pPr>
            <w:r>
              <w:rPr>
                <w:rFonts w:ascii="宋体" w:hAnsi="宋体" w:eastAsia="仿宋" w:cs="宋体"/>
                <w:kern w:val="0"/>
                <w:sz w:val="24"/>
                <w:szCs w:val="24"/>
              </w:rPr>
              <w:t> </w:t>
            </w:r>
          </w:p>
        </w:tc>
        <w:tc>
          <w:tcPr>
            <w:tcW w:w="2881" w:type="dxa"/>
            <w:gridSpan w:val="3"/>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widowControl/>
              <w:spacing w:line="520" w:lineRule="exact"/>
              <w:jc w:val="center"/>
              <w:rPr>
                <w:rFonts w:ascii="仿宋" w:hAnsi="仿宋" w:eastAsia="仿宋" w:cs="宋体"/>
                <w:kern w:val="0"/>
                <w:sz w:val="24"/>
                <w:szCs w:val="24"/>
              </w:rPr>
            </w:pPr>
          </w:p>
        </w:tc>
        <w:tc>
          <w:tcPr>
            <w:tcW w:w="1104" w:type="dxa"/>
            <w:gridSpan w:val="2"/>
            <w:tcBorders>
              <w:top w:val="nil"/>
              <w:left w:val="nil"/>
              <w:bottom w:val="single" w:color="000000" w:sz="8" w:space="0"/>
              <w:right w:val="single" w:color="auto" w:sz="8" w:space="0"/>
            </w:tcBorders>
            <w:shd w:val="clear" w:color="auto" w:fill="auto"/>
            <w:tcMar>
              <w:top w:w="15" w:type="dxa"/>
              <w:left w:w="15" w:type="dxa"/>
              <w:bottom w:w="15" w:type="dxa"/>
              <w:right w:w="15" w:type="dxa"/>
            </w:tcMar>
            <w:vAlign w:val="center"/>
          </w:tcPr>
          <w:p>
            <w:pPr>
              <w:widowControl/>
              <w:spacing w:line="520" w:lineRule="exact"/>
              <w:jc w:val="center"/>
              <w:rPr>
                <w:rFonts w:ascii="仿宋" w:hAnsi="仿宋" w:eastAsia="仿宋" w:cs="宋体"/>
                <w:kern w:val="0"/>
                <w:sz w:val="24"/>
                <w:szCs w:val="24"/>
              </w:rPr>
            </w:pPr>
          </w:p>
        </w:tc>
        <w:tc>
          <w:tcPr>
            <w:tcW w:w="200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widowControl/>
              <w:spacing w:line="520" w:lineRule="exact"/>
              <w:jc w:val="center"/>
              <w:rPr>
                <w:rFonts w:ascii="仿宋" w:hAnsi="仿宋" w:eastAsia="仿宋" w:cs="宋体"/>
                <w:kern w:val="0"/>
                <w:sz w:val="24"/>
                <w:szCs w:val="24"/>
              </w:rPr>
            </w:pPr>
          </w:p>
        </w:tc>
        <w:tc>
          <w:tcPr>
            <w:tcW w:w="6301"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widowControl/>
              <w:spacing w:line="520" w:lineRule="exact"/>
              <w:jc w:val="center"/>
              <w:rPr>
                <w:rFonts w:ascii="仿宋" w:hAnsi="仿宋" w:eastAsia="仿宋" w:cs="宋体"/>
                <w:kern w:val="0"/>
                <w:sz w:val="24"/>
                <w:szCs w:val="24"/>
              </w:rPr>
            </w:pPr>
          </w:p>
        </w:tc>
        <w:tc>
          <w:tcPr>
            <w:tcW w:w="952" w:type="dxa"/>
            <w:tcBorders>
              <w:top w:val="nil"/>
              <w:left w:val="nil"/>
              <w:bottom w:val="single" w:color="000000" w:sz="8" w:space="0"/>
              <w:right w:val="single" w:color="000000" w:sz="12" w:space="0"/>
            </w:tcBorders>
            <w:shd w:val="clear" w:color="auto" w:fill="auto"/>
            <w:tcMar>
              <w:top w:w="15" w:type="dxa"/>
              <w:left w:w="15" w:type="dxa"/>
              <w:bottom w:w="15" w:type="dxa"/>
              <w:right w:w="15" w:type="dxa"/>
            </w:tcMar>
            <w:vAlign w:val="center"/>
          </w:tcPr>
          <w:p>
            <w:pPr>
              <w:widowControl/>
              <w:spacing w:line="520" w:lineRule="exact"/>
              <w:jc w:val="center"/>
              <w:rPr>
                <w:rFonts w:ascii="仿宋" w:hAnsi="仿宋" w:eastAsia="仿宋" w:cs="宋体"/>
                <w:kern w:val="0"/>
                <w:sz w:val="24"/>
                <w:szCs w:val="24"/>
              </w:rPr>
            </w:pPr>
          </w:p>
        </w:tc>
      </w:tr>
      <w:tr>
        <w:tblPrEx>
          <w:tblCellMar>
            <w:top w:w="0" w:type="dxa"/>
            <w:left w:w="0" w:type="dxa"/>
            <w:bottom w:w="0" w:type="dxa"/>
            <w:right w:w="0" w:type="dxa"/>
          </w:tblCellMar>
        </w:tblPrEx>
        <w:trPr>
          <w:trHeight w:val="510" w:hRule="atLeast"/>
          <w:jc w:val="center"/>
        </w:trPr>
        <w:tc>
          <w:tcPr>
            <w:tcW w:w="14410" w:type="dxa"/>
            <w:gridSpan w:val="9"/>
            <w:tcBorders>
              <w:top w:val="nil"/>
              <w:left w:val="single" w:color="000000" w:sz="12" w:space="0"/>
              <w:bottom w:val="single" w:color="000000" w:sz="8" w:space="0"/>
              <w:right w:val="single" w:color="000000" w:sz="12" w:space="0"/>
            </w:tcBorders>
            <w:shd w:val="clear" w:color="auto" w:fill="auto"/>
            <w:tcMar>
              <w:top w:w="15" w:type="dxa"/>
              <w:left w:w="15" w:type="dxa"/>
              <w:bottom w:w="15" w:type="dxa"/>
              <w:right w:w="15" w:type="dxa"/>
            </w:tcMar>
            <w:vAlign w:val="center"/>
          </w:tcPr>
          <w:p>
            <w:pPr>
              <w:widowControl/>
              <w:spacing w:line="520" w:lineRule="exact"/>
              <w:jc w:val="center"/>
              <w:textAlignment w:val="center"/>
              <w:rPr>
                <w:rFonts w:ascii="黑体" w:hAnsi="黑体" w:eastAsia="黑体" w:cs="宋体"/>
                <w:kern w:val="0"/>
                <w:sz w:val="24"/>
                <w:szCs w:val="24"/>
              </w:rPr>
            </w:pPr>
            <w:r>
              <w:rPr>
                <w:rFonts w:hint="eastAsia" w:ascii="黑体" w:hAnsi="黑体" w:eastAsia="黑体" w:cs="宋体"/>
                <w:kern w:val="0"/>
                <w:sz w:val="24"/>
                <w:szCs w:val="24"/>
              </w:rPr>
              <w:t>三、下列违法行为当事人有证据足以证明没有主观过错的，不予行政处罚</w:t>
            </w:r>
          </w:p>
        </w:tc>
      </w:tr>
      <w:tr>
        <w:tblPrEx>
          <w:tblCellMar>
            <w:top w:w="0" w:type="dxa"/>
            <w:left w:w="0" w:type="dxa"/>
            <w:bottom w:w="0" w:type="dxa"/>
            <w:right w:w="0" w:type="dxa"/>
          </w:tblCellMar>
        </w:tblPrEx>
        <w:trPr>
          <w:trHeight w:val="510" w:hRule="atLeast"/>
          <w:jc w:val="center"/>
        </w:trPr>
        <w:tc>
          <w:tcPr>
            <w:tcW w:w="1168" w:type="dxa"/>
            <w:tcBorders>
              <w:top w:val="nil"/>
              <w:left w:val="single" w:color="000000" w:sz="12" w:space="0"/>
              <w:bottom w:val="single" w:color="000000" w:sz="8" w:space="0"/>
              <w:right w:val="single" w:color="000000" w:sz="8" w:space="0"/>
            </w:tcBorders>
            <w:shd w:val="clear" w:color="auto" w:fill="auto"/>
            <w:tcMar>
              <w:top w:w="15" w:type="dxa"/>
              <w:left w:w="15" w:type="dxa"/>
              <w:bottom w:w="15" w:type="dxa"/>
              <w:right w:w="15" w:type="dxa"/>
            </w:tcMar>
            <w:vAlign w:val="center"/>
          </w:tcPr>
          <w:p>
            <w:pPr>
              <w:widowControl/>
              <w:spacing w:line="560" w:lineRule="atLeast"/>
              <w:textAlignment w:val="center"/>
              <w:rPr>
                <w:rFonts w:ascii="仿宋" w:hAnsi="仿宋" w:eastAsia="仿宋" w:cs="宋体"/>
                <w:kern w:val="0"/>
                <w:sz w:val="24"/>
                <w:szCs w:val="24"/>
              </w:rPr>
            </w:pPr>
            <w:r>
              <w:rPr>
                <w:rFonts w:hint="eastAsia" w:ascii="仿宋" w:hAnsi="仿宋" w:eastAsia="仿宋" w:cs="宋体"/>
                <w:kern w:val="0"/>
                <w:sz w:val="24"/>
                <w:szCs w:val="24"/>
              </w:rPr>
              <w:t>序号</w:t>
            </w:r>
          </w:p>
        </w:tc>
        <w:tc>
          <w:tcPr>
            <w:tcW w:w="2881" w:type="dxa"/>
            <w:gridSpan w:val="3"/>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widowControl/>
              <w:spacing w:line="520" w:lineRule="exact"/>
              <w:jc w:val="center"/>
              <w:textAlignment w:val="center"/>
              <w:rPr>
                <w:rFonts w:ascii="仿宋" w:hAnsi="仿宋" w:eastAsia="仿宋" w:cs="宋体"/>
                <w:kern w:val="0"/>
                <w:sz w:val="24"/>
                <w:szCs w:val="24"/>
              </w:rPr>
            </w:pPr>
            <w:r>
              <w:rPr>
                <w:rFonts w:hint="eastAsia" w:ascii="仿宋" w:hAnsi="仿宋" w:eastAsia="仿宋" w:cs="宋体"/>
                <w:kern w:val="0"/>
                <w:sz w:val="24"/>
                <w:szCs w:val="24"/>
              </w:rPr>
              <w:t>行政处罚事项</w:t>
            </w:r>
          </w:p>
        </w:tc>
        <w:tc>
          <w:tcPr>
            <w:tcW w:w="1104" w:type="dxa"/>
            <w:gridSpan w:val="2"/>
            <w:tcBorders>
              <w:top w:val="nil"/>
              <w:left w:val="nil"/>
              <w:bottom w:val="single" w:color="000000" w:sz="8" w:space="0"/>
              <w:right w:val="single" w:color="auto" w:sz="8" w:space="0"/>
            </w:tcBorders>
            <w:shd w:val="clear" w:color="auto" w:fill="auto"/>
            <w:tcMar>
              <w:top w:w="15" w:type="dxa"/>
              <w:left w:w="15" w:type="dxa"/>
              <w:bottom w:w="15" w:type="dxa"/>
              <w:right w:w="15" w:type="dxa"/>
            </w:tcMar>
            <w:vAlign w:val="center"/>
          </w:tcPr>
          <w:p>
            <w:pPr>
              <w:widowControl/>
              <w:spacing w:line="520" w:lineRule="exact"/>
              <w:jc w:val="center"/>
              <w:textAlignment w:val="center"/>
              <w:rPr>
                <w:rFonts w:ascii="仿宋" w:hAnsi="仿宋" w:eastAsia="仿宋" w:cs="宋体"/>
                <w:kern w:val="0"/>
                <w:sz w:val="24"/>
                <w:szCs w:val="24"/>
              </w:rPr>
            </w:pPr>
            <w:r>
              <w:rPr>
                <w:rFonts w:hint="eastAsia" w:ascii="仿宋" w:hAnsi="仿宋" w:eastAsia="仿宋" w:cs="宋体"/>
                <w:kern w:val="0"/>
                <w:sz w:val="24"/>
                <w:szCs w:val="24"/>
              </w:rPr>
              <w:t>实施机关</w:t>
            </w:r>
          </w:p>
        </w:tc>
        <w:tc>
          <w:tcPr>
            <w:tcW w:w="200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widowControl/>
              <w:spacing w:line="520" w:lineRule="exact"/>
              <w:jc w:val="center"/>
              <w:textAlignment w:val="center"/>
              <w:rPr>
                <w:rFonts w:ascii="仿宋" w:hAnsi="仿宋" w:eastAsia="仿宋" w:cs="宋体"/>
                <w:kern w:val="0"/>
                <w:sz w:val="24"/>
                <w:szCs w:val="24"/>
              </w:rPr>
            </w:pPr>
            <w:r>
              <w:rPr>
                <w:rFonts w:hint="eastAsia" w:ascii="仿宋" w:hAnsi="仿宋" w:eastAsia="仿宋" w:cs="宋体"/>
                <w:kern w:val="0"/>
                <w:sz w:val="24"/>
                <w:szCs w:val="24"/>
              </w:rPr>
              <w:t>不予处罚适用条件</w:t>
            </w:r>
          </w:p>
        </w:tc>
        <w:tc>
          <w:tcPr>
            <w:tcW w:w="6301"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widowControl/>
              <w:spacing w:line="520" w:lineRule="exact"/>
              <w:jc w:val="center"/>
              <w:textAlignment w:val="center"/>
              <w:rPr>
                <w:rFonts w:ascii="仿宋" w:hAnsi="仿宋" w:eastAsia="仿宋" w:cs="宋体"/>
                <w:kern w:val="0"/>
                <w:sz w:val="24"/>
                <w:szCs w:val="24"/>
              </w:rPr>
            </w:pPr>
            <w:r>
              <w:rPr>
                <w:rFonts w:hint="eastAsia" w:ascii="仿宋" w:hAnsi="仿宋" w:eastAsia="仿宋" w:cs="宋体"/>
                <w:kern w:val="0"/>
                <w:sz w:val="24"/>
                <w:szCs w:val="24"/>
              </w:rPr>
              <w:t>法律依据</w:t>
            </w:r>
          </w:p>
        </w:tc>
        <w:tc>
          <w:tcPr>
            <w:tcW w:w="952" w:type="dxa"/>
            <w:tcBorders>
              <w:top w:val="nil"/>
              <w:left w:val="nil"/>
              <w:bottom w:val="single" w:color="000000" w:sz="8" w:space="0"/>
              <w:right w:val="single" w:color="000000" w:sz="12" w:space="0"/>
            </w:tcBorders>
            <w:shd w:val="clear" w:color="auto" w:fill="auto"/>
            <w:tcMar>
              <w:top w:w="15" w:type="dxa"/>
              <w:left w:w="15" w:type="dxa"/>
              <w:bottom w:w="15" w:type="dxa"/>
              <w:right w:w="15" w:type="dxa"/>
            </w:tcMar>
            <w:vAlign w:val="center"/>
          </w:tcPr>
          <w:p>
            <w:pPr>
              <w:widowControl/>
              <w:spacing w:line="520" w:lineRule="exact"/>
              <w:jc w:val="center"/>
              <w:textAlignment w:val="center"/>
              <w:rPr>
                <w:rFonts w:ascii="仿宋" w:hAnsi="仿宋" w:eastAsia="仿宋" w:cs="宋体"/>
                <w:kern w:val="0"/>
                <w:sz w:val="24"/>
                <w:szCs w:val="24"/>
              </w:rPr>
            </w:pPr>
            <w:r>
              <w:rPr>
                <w:rFonts w:hint="eastAsia" w:ascii="仿宋" w:hAnsi="仿宋" w:eastAsia="仿宋" w:cs="宋体"/>
                <w:kern w:val="0"/>
                <w:sz w:val="24"/>
                <w:szCs w:val="24"/>
              </w:rPr>
              <w:t>备注</w:t>
            </w:r>
          </w:p>
        </w:tc>
      </w:tr>
      <w:tr>
        <w:tblPrEx>
          <w:tblCellMar>
            <w:top w:w="0" w:type="dxa"/>
            <w:left w:w="0" w:type="dxa"/>
            <w:bottom w:w="0" w:type="dxa"/>
            <w:right w:w="0" w:type="dxa"/>
          </w:tblCellMar>
        </w:tblPrEx>
        <w:trPr>
          <w:trHeight w:val="510" w:hRule="atLeast"/>
          <w:jc w:val="center"/>
        </w:trPr>
        <w:tc>
          <w:tcPr>
            <w:tcW w:w="1168" w:type="dxa"/>
            <w:tcBorders>
              <w:top w:val="nil"/>
              <w:left w:val="single" w:color="000000" w:sz="12" w:space="0"/>
              <w:bottom w:val="single" w:color="000000" w:sz="8" w:space="0"/>
              <w:right w:val="single" w:color="000000" w:sz="8" w:space="0"/>
            </w:tcBorders>
            <w:shd w:val="clear" w:color="auto" w:fill="auto"/>
            <w:tcMar>
              <w:top w:w="15" w:type="dxa"/>
              <w:left w:w="15" w:type="dxa"/>
              <w:bottom w:w="15" w:type="dxa"/>
              <w:right w:w="15" w:type="dxa"/>
            </w:tcMar>
            <w:vAlign w:val="center"/>
          </w:tcPr>
          <w:p>
            <w:pPr>
              <w:widowControl/>
              <w:spacing w:line="560" w:lineRule="atLeast"/>
              <w:rPr>
                <w:rFonts w:ascii="仿宋" w:hAnsi="仿宋" w:eastAsia="仿宋" w:cs="宋体"/>
                <w:kern w:val="0"/>
                <w:sz w:val="24"/>
                <w:szCs w:val="24"/>
              </w:rPr>
            </w:pPr>
            <w:r>
              <w:rPr>
                <w:rFonts w:ascii="宋体" w:hAnsi="宋体" w:eastAsia="仿宋" w:cs="宋体"/>
                <w:kern w:val="0"/>
                <w:sz w:val="24"/>
                <w:szCs w:val="24"/>
              </w:rPr>
              <w:t> </w:t>
            </w:r>
          </w:p>
        </w:tc>
        <w:tc>
          <w:tcPr>
            <w:tcW w:w="2881" w:type="dxa"/>
            <w:gridSpan w:val="3"/>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widowControl/>
              <w:spacing w:line="520" w:lineRule="exact"/>
              <w:jc w:val="center"/>
              <w:rPr>
                <w:rFonts w:hint="eastAsia" w:ascii="仿宋" w:hAnsi="仿宋" w:eastAsia="仿宋" w:cs="宋体"/>
                <w:kern w:val="0"/>
                <w:sz w:val="24"/>
                <w:szCs w:val="24"/>
                <w:lang w:eastAsia="zh-CN"/>
              </w:rPr>
            </w:pPr>
            <w:r>
              <w:rPr>
                <w:rFonts w:hint="eastAsia" w:ascii="仿宋" w:hAnsi="仿宋" w:eastAsia="仿宋" w:cs="宋体"/>
                <w:kern w:val="0"/>
                <w:sz w:val="24"/>
                <w:szCs w:val="24"/>
                <w:lang w:eastAsia="zh-CN"/>
              </w:rPr>
              <w:t>无</w:t>
            </w:r>
          </w:p>
        </w:tc>
        <w:tc>
          <w:tcPr>
            <w:tcW w:w="1104" w:type="dxa"/>
            <w:gridSpan w:val="2"/>
            <w:tcBorders>
              <w:top w:val="nil"/>
              <w:left w:val="nil"/>
              <w:bottom w:val="single" w:color="000000" w:sz="8" w:space="0"/>
              <w:right w:val="single" w:color="auto" w:sz="8" w:space="0"/>
            </w:tcBorders>
            <w:shd w:val="clear" w:color="auto" w:fill="auto"/>
            <w:tcMar>
              <w:top w:w="15" w:type="dxa"/>
              <w:left w:w="15" w:type="dxa"/>
              <w:bottom w:w="15" w:type="dxa"/>
              <w:right w:w="15" w:type="dxa"/>
            </w:tcMar>
            <w:vAlign w:val="center"/>
          </w:tcPr>
          <w:p>
            <w:pPr>
              <w:widowControl/>
              <w:spacing w:line="520" w:lineRule="exact"/>
              <w:jc w:val="center"/>
              <w:rPr>
                <w:rFonts w:ascii="仿宋" w:hAnsi="仿宋" w:eastAsia="仿宋" w:cs="宋体"/>
                <w:kern w:val="0"/>
                <w:sz w:val="24"/>
                <w:szCs w:val="24"/>
              </w:rPr>
            </w:pPr>
          </w:p>
        </w:tc>
        <w:tc>
          <w:tcPr>
            <w:tcW w:w="200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widowControl/>
              <w:spacing w:line="520" w:lineRule="exact"/>
              <w:jc w:val="center"/>
              <w:rPr>
                <w:rFonts w:ascii="仿宋" w:hAnsi="仿宋" w:eastAsia="仿宋" w:cs="宋体"/>
                <w:kern w:val="0"/>
                <w:sz w:val="24"/>
                <w:szCs w:val="24"/>
              </w:rPr>
            </w:pPr>
          </w:p>
        </w:tc>
        <w:tc>
          <w:tcPr>
            <w:tcW w:w="6301"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widowControl/>
              <w:spacing w:line="520" w:lineRule="exact"/>
              <w:jc w:val="center"/>
              <w:rPr>
                <w:rFonts w:ascii="仿宋" w:hAnsi="仿宋" w:eastAsia="仿宋" w:cs="宋体"/>
                <w:kern w:val="0"/>
                <w:sz w:val="24"/>
                <w:szCs w:val="24"/>
              </w:rPr>
            </w:pPr>
          </w:p>
        </w:tc>
        <w:tc>
          <w:tcPr>
            <w:tcW w:w="952" w:type="dxa"/>
            <w:tcBorders>
              <w:top w:val="nil"/>
              <w:left w:val="nil"/>
              <w:bottom w:val="single" w:color="000000" w:sz="8" w:space="0"/>
              <w:right w:val="single" w:color="000000" w:sz="12" w:space="0"/>
            </w:tcBorders>
            <w:shd w:val="clear" w:color="auto" w:fill="auto"/>
            <w:tcMar>
              <w:top w:w="15" w:type="dxa"/>
              <w:left w:w="15" w:type="dxa"/>
              <w:bottom w:w="15" w:type="dxa"/>
              <w:right w:w="15" w:type="dxa"/>
            </w:tcMar>
            <w:vAlign w:val="center"/>
          </w:tcPr>
          <w:p>
            <w:pPr>
              <w:widowControl/>
              <w:spacing w:line="520" w:lineRule="exact"/>
              <w:jc w:val="center"/>
              <w:rPr>
                <w:rFonts w:ascii="仿宋" w:hAnsi="仿宋" w:eastAsia="仿宋" w:cs="宋体"/>
                <w:kern w:val="0"/>
                <w:sz w:val="24"/>
                <w:szCs w:val="24"/>
              </w:rPr>
            </w:pPr>
          </w:p>
        </w:tc>
      </w:tr>
      <w:tr>
        <w:tblPrEx>
          <w:tblCellMar>
            <w:top w:w="0" w:type="dxa"/>
            <w:left w:w="0" w:type="dxa"/>
            <w:bottom w:w="0" w:type="dxa"/>
            <w:right w:w="0" w:type="dxa"/>
          </w:tblCellMar>
        </w:tblPrEx>
        <w:trPr>
          <w:trHeight w:val="510" w:hRule="atLeast"/>
          <w:jc w:val="center"/>
        </w:trPr>
        <w:tc>
          <w:tcPr>
            <w:tcW w:w="1168" w:type="dxa"/>
            <w:tcBorders>
              <w:top w:val="nil"/>
              <w:left w:val="single" w:color="000000" w:sz="12" w:space="0"/>
              <w:bottom w:val="single" w:color="000000" w:sz="8" w:space="0"/>
              <w:right w:val="single" w:color="000000" w:sz="8" w:space="0"/>
            </w:tcBorders>
            <w:shd w:val="clear" w:color="auto" w:fill="auto"/>
            <w:tcMar>
              <w:top w:w="15" w:type="dxa"/>
              <w:left w:w="15" w:type="dxa"/>
              <w:bottom w:w="15" w:type="dxa"/>
              <w:right w:w="15" w:type="dxa"/>
            </w:tcMar>
            <w:vAlign w:val="center"/>
          </w:tcPr>
          <w:p>
            <w:pPr>
              <w:widowControl/>
              <w:spacing w:line="560" w:lineRule="atLeast"/>
              <w:rPr>
                <w:rFonts w:ascii="仿宋" w:hAnsi="仿宋" w:eastAsia="仿宋" w:cs="宋体"/>
                <w:kern w:val="0"/>
                <w:sz w:val="24"/>
                <w:szCs w:val="24"/>
              </w:rPr>
            </w:pPr>
            <w:r>
              <w:rPr>
                <w:rFonts w:ascii="宋体" w:hAnsi="宋体" w:eastAsia="仿宋" w:cs="宋体"/>
                <w:kern w:val="0"/>
                <w:sz w:val="24"/>
                <w:szCs w:val="24"/>
              </w:rPr>
              <w:t> </w:t>
            </w:r>
          </w:p>
        </w:tc>
        <w:tc>
          <w:tcPr>
            <w:tcW w:w="2881" w:type="dxa"/>
            <w:gridSpan w:val="3"/>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widowControl/>
              <w:spacing w:line="520" w:lineRule="exact"/>
              <w:jc w:val="center"/>
              <w:rPr>
                <w:rFonts w:ascii="仿宋" w:hAnsi="仿宋" w:eastAsia="仿宋" w:cs="宋体"/>
                <w:kern w:val="0"/>
                <w:sz w:val="24"/>
                <w:szCs w:val="24"/>
              </w:rPr>
            </w:pPr>
          </w:p>
        </w:tc>
        <w:tc>
          <w:tcPr>
            <w:tcW w:w="1104" w:type="dxa"/>
            <w:gridSpan w:val="2"/>
            <w:tcBorders>
              <w:top w:val="nil"/>
              <w:left w:val="nil"/>
              <w:bottom w:val="single" w:color="000000" w:sz="8" w:space="0"/>
              <w:right w:val="single" w:color="auto" w:sz="8" w:space="0"/>
            </w:tcBorders>
            <w:shd w:val="clear" w:color="auto" w:fill="auto"/>
            <w:tcMar>
              <w:top w:w="15" w:type="dxa"/>
              <w:left w:w="15" w:type="dxa"/>
              <w:bottom w:w="15" w:type="dxa"/>
              <w:right w:w="15" w:type="dxa"/>
            </w:tcMar>
            <w:vAlign w:val="center"/>
          </w:tcPr>
          <w:p>
            <w:pPr>
              <w:widowControl/>
              <w:spacing w:line="520" w:lineRule="exact"/>
              <w:jc w:val="center"/>
              <w:rPr>
                <w:rFonts w:ascii="仿宋" w:hAnsi="仿宋" w:eastAsia="仿宋" w:cs="宋体"/>
                <w:kern w:val="0"/>
                <w:sz w:val="24"/>
                <w:szCs w:val="24"/>
              </w:rPr>
            </w:pPr>
          </w:p>
        </w:tc>
        <w:tc>
          <w:tcPr>
            <w:tcW w:w="200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widowControl/>
              <w:spacing w:line="520" w:lineRule="exact"/>
              <w:jc w:val="center"/>
              <w:rPr>
                <w:rFonts w:ascii="仿宋" w:hAnsi="仿宋" w:eastAsia="仿宋" w:cs="宋体"/>
                <w:kern w:val="0"/>
                <w:sz w:val="24"/>
                <w:szCs w:val="24"/>
              </w:rPr>
            </w:pPr>
          </w:p>
        </w:tc>
        <w:tc>
          <w:tcPr>
            <w:tcW w:w="6301"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widowControl/>
              <w:spacing w:line="520" w:lineRule="exact"/>
              <w:jc w:val="center"/>
              <w:rPr>
                <w:rFonts w:ascii="仿宋" w:hAnsi="仿宋" w:eastAsia="仿宋" w:cs="宋体"/>
                <w:kern w:val="0"/>
                <w:sz w:val="24"/>
                <w:szCs w:val="24"/>
              </w:rPr>
            </w:pPr>
          </w:p>
        </w:tc>
        <w:tc>
          <w:tcPr>
            <w:tcW w:w="952" w:type="dxa"/>
            <w:tcBorders>
              <w:top w:val="nil"/>
              <w:left w:val="nil"/>
              <w:bottom w:val="single" w:color="000000" w:sz="8" w:space="0"/>
              <w:right w:val="single" w:color="000000" w:sz="12" w:space="0"/>
            </w:tcBorders>
            <w:shd w:val="clear" w:color="auto" w:fill="auto"/>
            <w:tcMar>
              <w:top w:w="15" w:type="dxa"/>
              <w:left w:w="15" w:type="dxa"/>
              <w:bottom w:w="15" w:type="dxa"/>
              <w:right w:w="15" w:type="dxa"/>
            </w:tcMar>
            <w:vAlign w:val="center"/>
          </w:tcPr>
          <w:p>
            <w:pPr>
              <w:widowControl/>
              <w:spacing w:line="520" w:lineRule="exact"/>
              <w:jc w:val="center"/>
              <w:rPr>
                <w:rFonts w:ascii="仿宋" w:hAnsi="仿宋" w:eastAsia="仿宋" w:cs="宋体"/>
                <w:kern w:val="0"/>
                <w:sz w:val="24"/>
                <w:szCs w:val="24"/>
              </w:rPr>
            </w:pPr>
          </w:p>
        </w:tc>
      </w:tr>
      <w:tr>
        <w:tblPrEx>
          <w:tblCellMar>
            <w:top w:w="0" w:type="dxa"/>
            <w:left w:w="0" w:type="dxa"/>
            <w:bottom w:w="0" w:type="dxa"/>
            <w:right w:w="0" w:type="dxa"/>
          </w:tblCellMar>
        </w:tblPrEx>
        <w:trPr>
          <w:trHeight w:val="510" w:hRule="atLeast"/>
          <w:jc w:val="center"/>
        </w:trPr>
        <w:tc>
          <w:tcPr>
            <w:tcW w:w="1168" w:type="dxa"/>
            <w:shd w:val="clear" w:color="auto" w:fill="auto"/>
            <w:tcMar>
              <w:top w:w="15" w:type="dxa"/>
              <w:left w:w="15" w:type="dxa"/>
              <w:bottom w:w="15" w:type="dxa"/>
              <w:right w:w="15" w:type="dxa"/>
            </w:tcMar>
            <w:vAlign w:val="center"/>
          </w:tcPr>
          <w:p>
            <w:pPr>
              <w:widowControl/>
              <w:spacing w:line="560" w:lineRule="atLeast"/>
              <w:textAlignment w:val="center"/>
              <w:rPr>
                <w:rFonts w:ascii="仿宋" w:hAnsi="仿宋" w:eastAsia="仿宋" w:cs="宋体"/>
                <w:kern w:val="0"/>
                <w:sz w:val="32"/>
                <w:szCs w:val="32"/>
              </w:rPr>
            </w:pPr>
            <w:r>
              <w:rPr>
                <w:rFonts w:hint="eastAsia" w:ascii="仿宋" w:hAnsi="仿宋" w:eastAsia="仿宋" w:cs="宋体"/>
                <w:kern w:val="0"/>
                <w:sz w:val="28"/>
                <w:szCs w:val="28"/>
              </w:rPr>
              <w:t>附件2</w:t>
            </w:r>
          </w:p>
        </w:tc>
        <w:tc>
          <w:tcPr>
            <w:tcW w:w="2881" w:type="dxa"/>
            <w:gridSpan w:val="3"/>
            <w:shd w:val="clear" w:color="auto" w:fill="auto"/>
            <w:tcMar>
              <w:top w:w="15" w:type="dxa"/>
              <w:left w:w="15" w:type="dxa"/>
              <w:bottom w:w="15" w:type="dxa"/>
              <w:right w:w="15" w:type="dxa"/>
            </w:tcMar>
            <w:vAlign w:val="center"/>
          </w:tcPr>
          <w:p>
            <w:pPr>
              <w:widowControl/>
              <w:spacing w:line="560" w:lineRule="atLeast"/>
              <w:rPr>
                <w:rFonts w:ascii="仿宋" w:hAnsi="仿宋" w:eastAsia="仿宋" w:cs="宋体"/>
                <w:kern w:val="0"/>
                <w:sz w:val="32"/>
                <w:szCs w:val="32"/>
              </w:rPr>
            </w:pPr>
            <w:r>
              <w:rPr>
                <w:rFonts w:ascii="宋体" w:hAnsi="宋体" w:eastAsia="仿宋" w:cs="宋体"/>
                <w:kern w:val="0"/>
                <w:sz w:val="32"/>
                <w:szCs w:val="32"/>
              </w:rPr>
              <w:t> </w:t>
            </w:r>
          </w:p>
        </w:tc>
        <w:tc>
          <w:tcPr>
            <w:tcW w:w="3108" w:type="dxa"/>
            <w:gridSpan w:val="3"/>
            <w:shd w:val="clear" w:color="auto" w:fill="auto"/>
            <w:tcMar>
              <w:top w:w="15" w:type="dxa"/>
              <w:left w:w="15" w:type="dxa"/>
              <w:bottom w:w="15" w:type="dxa"/>
              <w:right w:w="15" w:type="dxa"/>
            </w:tcMar>
            <w:vAlign w:val="center"/>
          </w:tcPr>
          <w:p>
            <w:pPr>
              <w:widowControl/>
              <w:spacing w:line="560" w:lineRule="atLeast"/>
              <w:rPr>
                <w:rFonts w:ascii="仿宋" w:hAnsi="仿宋" w:eastAsia="仿宋" w:cs="宋体"/>
                <w:kern w:val="0"/>
                <w:sz w:val="32"/>
                <w:szCs w:val="32"/>
              </w:rPr>
            </w:pPr>
            <w:r>
              <w:rPr>
                <w:rFonts w:ascii="宋体" w:hAnsi="宋体" w:eastAsia="仿宋" w:cs="宋体"/>
                <w:kern w:val="0"/>
                <w:sz w:val="32"/>
                <w:szCs w:val="32"/>
              </w:rPr>
              <w:t> </w:t>
            </w:r>
          </w:p>
        </w:tc>
        <w:tc>
          <w:tcPr>
            <w:tcW w:w="6301" w:type="dxa"/>
            <w:shd w:val="clear" w:color="auto" w:fill="auto"/>
            <w:tcMar>
              <w:top w:w="15" w:type="dxa"/>
              <w:left w:w="15" w:type="dxa"/>
              <w:bottom w:w="15" w:type="dxa"/>
              <w:right w:w="15" w:type="dxa"/>
            </w:tcMar>
            <w:vAlign w:val="center"/>
          </w:tcPr>
          <w:p>
            <w:pPr>
              <w:widowControl/>
              <w:spacing w:line="560" w:lineRule="atLeast"/>
              <w:rPr>
                <w:rFonts w:ascii="仿宋" w:hAnsi="仿宋" w:eastAsia="仿宋" w:cs="宋体"/>
                <w:kern w:val="0"/>
                <w:sz w:val="32"/>
                <w:szCs w:val="32"/>
              </w:rPr>
            </w:pPr>
            <w:r>
              <w:rPr>
                <w:rFonts w:ascii="宋体" w:hAnsi="宋体" w:eastAsia="仿宋" w:cs="宋体"/>
                <w:kern w:val="0"/>
                <w:sz w:val="32"/>
                <w:szCs w:val="32"/>
              </w:rPr>
              <w:t> </w:t>
            </w:r>
          </w:p>
        </w:tc>
        <w:tc>
          <w:tcPr>
            <w:tcW w:w="952" w:type="dxa"/>
            <w:shd w:val="clear" w:color="auto" w:fill="auto"/>
            <w:tcMar>
              <w:top w:w="15" w:type="dxa"/>
              <w:left w:w="15" w:type="dxa"/>
              <w:bottom w:w="15" w:type="dxa"/>
              <w:right w:w="15" w:type="dxa"/>
            </w:tcMar>
            <w:vAlign w:val="center"/>
          </w:tcPr>
          <w:p>
            <w:pPr>
              <w:widowControl/>
              <w:spacing w:line="560" w:lineRule="atLeast"/>
              <w:rPr>
                <w:rFonts w:ascii="仿宋" w:hAnsi="仿宋" w:eastAsia="仿宋" w:cs="宋体"/>
                <w:kern w:val="0"/>
                <w:sz w:val="32"/>
                <w:szCs w:val="32"/>
              </w:rPr>
            </w:pPr>
            <w:r>
              <w:rPr>
                <w:rFonts w:ascii="宋体" w:hAnsi="宋体" w:eastAsia="仿宋" w:cs="宋体"/>
                <w:kern w:val="0"/>
                <w:sz w:val="32"/>
                <w:szCs w:val="32"/>
              </w:rPr>
              <w:t> </w:t>
            </w:r>
          </w:p>
        </w:tc>
      </w:tr>
      <w:tr>
        <w:tblPrEx>
          <w:tblCellMar>
            <w:top w:w="0" w:type="dxa"/>
            <w:left w:w="0" w:type="dxa"/>
            <w:bottom w:w="0" w:type="dxa"/>
            <w:right w:w="0" w:type="dxa"/>
          </w:tblCellMar>
        </w:tblPrEx>
        <w:trPr>
          <w:trHeight w:val="510" w:hRule="atLeast"/>
          <w:jc w:val="center"/>
        </w:trPr>
        <w:tc>
          <w:tcPr>
            <w:tcW w:w="14410" w:type="dxa"/>
            <w:gridSpan w:val="9"/>
            <w:shd w:val="clear" w:color="auto" w:fill="auto"/>
            <w:tcMar>
              <w:top w:w="15" w:type="dxa"/>
              <w:left w:w="15" w:type="dxa"/>
              <w:bottom w:w="15" w:type="dxa"/>
              <w:right w:w="15" w:type="dxa"/>
            </w:tcMar>
            <w:vAlign w:val="center"/>
          </w:tcPr>
          <w:p>
            <w:pPr>
              <w:widowControl/>
              <w:spacing w:line="560" w:lineRule="atLeast"/>
              <w:jc w:val="center"/>
              <w:textAlignment w:val="center"/>
              <w:rPr>
                <w:rFonts w:ascii="宋体" w:hAnsi="宋体" w:eastAsia="宋体" w:cs="宋体"/>
                <w:b/>
                <w:kern w:val="0"/>
                <w:sz w:val="32"/>
                <w:szCs w:val="32"/>
              </w:rPr>
            </w:pPr>
            <w:r>
              <w:rPr>
                <w:rFonts w:hint="eastAsia" w:ascii="方正小标宋简体" w:hAnsi="宋体" w:eastAsia="方正小标宋简体" w:cs="宋体"/>
                <w:b/>
                <w:kern w:val="0"/>
                <w:sz w:val="32"/>
                <w:szCs w:val="32"/>
              </w:rPr>
              <w:t>从轻处罚事项清单</w:t>
            </w:r>
          </w:p>
        </w:tc>
      </w:tr>
      <w:tr>
        <w:tblPrEx>
          <w:tblCellMar>
            <w:top w:w="0" w:type="dxa"/>
            <w:left w:w="0" w:type="dxa"/>
            <w:bottom w:w="0" w:type="dxa"/>
            <w:right w:w="0" w:type="dxa"/>
          </w:tblCellMar>
        </w:tblPrEx>
        <w:trPr>
          <w:trHeight w:val="510" w:hRule="atLeast"/>
          <w:jc w:val="center"/>
        </w:trPr>
        <w:tc>
          <w:tcPr>
            <w:tcW w:w="4049" w:type="dxa"/>
            <w:gridSpan w:val="4"/>
            <w:shd w:val="clear" w:color="auto" w:fill="auto"/>
            <w:tcMar>
              <w:top w:w="15" w:type="dxa"/>
              <w:left w:w="15" w:type="dxa"/>
              <w:bottom w:w="15" w:type="dxa"/>
              <w:right w:w="15" w:type="dxa"/>
            </w:tcMar>
            <w:vAlign w:val="center"/>
          </w:tcPr>
          <w:p>
            <w:pPr>
              <w:widowControl/>
              <w:spacing w:line="560" w:lineRule="atLeast"/>
              <w:jc w:val="center"/>
              <w:textAlignment w:val="center"/>
              <w:rPr>
                <w:rFonts w:ascii="仿宋" w:hAnsi="仿宋" w:eastAsia="仿宋" w:cs="宋体"/>
                <w:kern w:val="0"/>
                <w:sz w:val="24"/>
                <w:szCs w:val="24"/>
              </w:rPr>
            </w:pPr>
            <w:r>
              <w:rPr>
                <w:rFonts w:hint="eastAsia" w:ascii="仿宋" w:hAnsi="仿宋" w:eastAsia="仿宋" w:cs="宋体"/>
                <w:kern w:val="0"/>
                <w:sz w:val="24"/>
                <w:szCs w:val="24"/>
              </w:rPr>
              <w:t>单位：（公章）</w:t>
            </w:r>
          </w:p>
        </w:tc>
        <w:tc>
          <w:tcPr>
            <w:tcW w:w="3108" w:type="dxa"/>
            <w:gridSpan w:val="3"/>
            <w:shd w:val="clear" w:color="auto" w:fill="auto"/>
            <w:tcMar>
              <w:top w:w="15" w:type="dxa"/>
              <w:left w:w="15" w:type="dxa"/>
              <w:bottom w:w="15" w:type="dxa"/>
              <w:right w:w="15" w:type="dxa"/>
            </w:tcMar>
            <w:vAlign w:val="center"/>
          </w:tcPr>
          <w:p>
            <w:pPr>
              <w:widowControl/>
              <w:spacing w:line="560" w:lineRule="atLeast"/>
              <w:jc w:val="center"/>
              <w:rPr>
                <w:rFonts w:ascii="仿宋" w:hAnsi="仿宋" w:eastAsia="仿宋" w:cs="宋体"/>
                <w:kern w:val="0"/>
                <w:sz w:val="24"/>
                <w:szCs w:val="24"/>
              </w:rPr>
            </w:pPr>
          </w:p>
        </w:tc>
        <w:tc>
          <w:tcPr>
            <w:tcW w:w="6301" w:type="dxa"/>
            <w:shd w:val="clear" w:color="auto" w:fill="auto"/>
            <w:tcMar>
              <w:top w:w="15" w:type="dxa"/>
              <w:left w:w="15" w:type="dxa"/>
              <w:bottom w:w="15" w:type="dxa"/>
              <w:right w:w="15" w:type="dxa"/>
            </w:tcMar>
            <w:vAlign w:val="center"/>
          </w:tcPr>
          <w:p>
            <w:pPr>
              <w:widowControl/>
              <w:spacing w:line="560" w:lineRule="atLeast"/>
              <w:jc w:val="center"/>
              <w:rPr>
                <w:rFonts w:ascii="仿宋" w:hAnsi="仿宋" w:eastAsia="仿宋" w:cs="宋体"/>
                <w:kern w:val="0"/>
                <w:sz w:val="24"/>
                <w:szCs w:val="24"/>
              </w:rPr>
            </w:pPr>
          </w:p>
        </w:tc>
        <w:tc>
          <w:tcPr>
            <w:tcW w:w="952" w:type="dxa"/>
            <w:shd w:val="clear" w:color="auto" w:fill="auto"/>
            <w:tcMar>
              <w:top w:w="15" w:type="dxa"/>
              <w:left w:w="15" w:type="dxa"/>
              <w:bottom w:w="15" w:type="dxa"/>
              <w:right w:w="15" w:type="dxa"/>
            </w:tcMar>
            <w:vAlign w:val="center"/>
          </w:tcPr>
          <w:p>
            <w:pPr>
              <w:widowControl/>
              <w:spacing w:line="560" w:lineRule="atLeast"/>
              <w:jc w:val="center"/>
              <w:rPr>
                <w:rFonts w:ascii="仿宋" w:hAnsi="仿宋" w:eastAsia="仿宋" w:cs="宋体"/>
                <w:kern w:val="0"/>
                <w:sz w:val="24"/>
                <w:szCs w:val="24"/>
              </w:rPr>
            </w:pPr>
          </w:p>
        </w:tc>
      </w:tr>
      <w:tr>
        <w:tblPrEx>
          <w:tblCellMar>
            <w:top w:w="0" w:type="dxa"/>
            <w:left w:w="0" w:type="dxa"/>
            <w:bottom w:w="0" w:type="dxa"/>
            <w:right w:w="0" w:type="dxa"/>
          </w:tblCellMar>
        </w:tblPrEx>
        <w:trPr>
          <w:trHeight w:val="510" w:hRule="atLeast"/>
          <w:jc w:val="center"/>
        </w:trPr>
        <w:tc>
          <w:tcPr>
            <w:tcW w:w="1168" w:type="dxa"/>
            <w:tcBorders>
              <w:top w:val="single" w:color="000000" w:sz="12" w:space="0"/>
              <w:left w:val="single" w:color="000000" w:sz="12" w:space="0"/>
              <w:bottom w:val="single" w:color="000000" w:sz="8" w:space="0"/>
              <w:right w:val="single" w:color="000000" w:sz="8" w:space="0"/>
            </w:tcBorders>
            <w:shd w:val="clear" w:color="auto" w:fill="auto"/>
            <w:tcMar>
              <w:top w:w="15" w:type="dxa"/>
              <w:left w:w="15" w:type="dxa"/>
              <w:bottom w:w="15" w:type="dxa"/>
              <w:right w:w="15" w:type="dxa"/>
            </w:tcMar>
            <w:vAlign w:val="center"/>
          </w:tcPr>
          <w:p>
            <w:pPr>
              <w:widowControl/>
              <w:spacing w:line="560" w:lineRule="atLeast"/>
              <w:jc w:val="center"/>
              <w:textAlignment w:val="center"/>
              <w:rPr>
                <w:rFonts w:ascii="黑体" w:hAnsi="黑体" w:eastAsia="黑体" w:cs="宋体"/>
                <w:kern w:val="0"/>
                <w:sz w:val="24"/>
                <w:szCs w:val="24"/>
              </w:rPr>
            </w:pPr>
            <w:r>
              <w:rPr>
                <w:rFonts w:hint="eastAsia" w:ascii="黑体" w:hAnsi="黑体" w:eastAsia="黑体" w:cs="宋体"/>
                <w:kern w:val="0"/>
                <w:sz w:val="24"/>
                <w:szCs w:val="24"/>
              </w:rPr>
              <w:t>序号</w:t>
            </w:r>
          </w:p>
        </w:tc>
        <w:tc>
          <w:tcPr>
            <w:tcW w:w="2881" w:type="dxa"/>
            <w:gridSpan w:val="3"/>
            <w:tcBorders>
              <w:top w:val="single" w:color="000000" w:sz="12" w:space="0"/>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widowControl/>
              <w:spacing w:line="560" w:lineRule="atLeast"/>
              <w:jc w:val="center"/>
              <w:textAlignment w:val="center"/>
              <w:rPr>
                <w:rFonts w:ascii="黑体" w:hAnsi="黑体" w:eastAsia="黑体" w:cs="宋体"/>
                <w:kern w:val="0"/>
                <w:sz w:val="24"/>
                <w:szCs w:val="24"/>
              </w:rPr>
            </w:pPr>
            <w:r>
              <w:rPr>
                <w:rFonts w:hint="eastAsia" w:ascii="黑体" w:hAnsi="黑体" w:eastAsia="黑体" w:cs="宋体"/>
                <w:kern w:val="0"/>
                <w:sz w:val="24"/>
                <w:szCs w:val="24"/>
              </w:rPr>
              <w:t>行政处罚事项</w:t>
            </w:r>
          </w:p>
        </w:tc>
        <w:tc>
          <w:tcPr>
            <w:tcW w:w="1104" w:type="dxa"/>
            <w:gridSpan w:val="2"/>
            <w:tcBorders>
              <w:top w:val="single" w:color="000000" w:sz="12" w:space="0"/>
              <w:left w:val="nil"/>
              <w:bottom w:val="single" w:color="000000" w:sz="8" w:space="0"/>
              <w:right w:val="single" w:color="auto" w:sz="8" w:space="0"/>
            </w:tcBorders>
            <w:shd w:val="clear" w:color="auto" w:fill="auto"/>
            <w:tcMar>
              <w:top w:w="15" w:type="dxa"/>
              <w:left w:w="15" w:type="dxa"/>
              <w:bottom w:w="15" w:type="dxa"/>
              <w:right w:w="15" w:type="dxa"/>
            </w:tcMar>
            <w:vAlign w:val="center"/>
          </w:tcPr>
          <w:p>
            <w:pPr>
              <w:widowControl/>
              <w:spacing w:line="560" w:lineRule="atLeast"/>
              <w:jc w:val="center"/>
              <w:textAlignment w:val="center"/>
              <w:rPr>
                <w:rFonts w:ascii="黑体" w:hAnsi="黑体" w:eastAsia="黑体" w:cs="宋体"/>
                <w:kern w:val="0"/>
                <w:sz w:val="24"/>
                <w:szCs w:val="24"/>
              </w:rPr>
            </w:pPr>
            <w:r>
              <w:rPr>
                <w:rFonts w:hint="eastAsia" w:ascii="黑体" w:hAnsi="黑体" w:eastAsia="黑体" w:cs="宋体"/>
                <w:kern w:val="0"/>
                <w:sz w:val="24"/>
                <w:szCs w:val="24"/>
              </w:rPr>
              <w:t>实施机关</w:t>
            </w:r>
          </w:p>
        </w:tc>
        <w:tc>
          <w:tcPr>
            <w:tcW w:w="2004" w:type="dxa"/>
            <w:tcBorders>
              <w:top w:val="single" w:color="000000" w:sz="12" w:space="0"/>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widowControl/>
              <w:spacing w:line="560" w:lineRule="atLeast"/>
              <w:jc w:val="center"/>
              <w:textAlignment w:val="center"/>
              <w:rPr>
                <w:rFonts w:ascii="黑体" w:hAnsi="黑体" w:eastAsia="黑体" w:cs="宋体"/>
                <w:kern w:val="0"/>
                <w:sz w:val="24"/>
                <w:szCs w:val="24"/>
              </w:rPr>
            </w:pPr>
            <w:r>
              <w:rPr>
                <w:rFonts w:hint="eastAsia" w:ascii="黑体" w:hAnsi="黑体" w:eastAsia="黑体" w:cs="宋体"/>
                <w:kern w:val="0"/>
                <w:sz w:val="24"/>
                <w:szCs w:val="24"/>
              </w:rPr>
              <w:t>从轻处罚适用条件</w:t>
            </w:r>
          </w:p>
        </w:tc>
        <w:tc>
          <w:tcPr>
            <w:tcW w:w="6301" w:type="dxa"/>
            <w:tcBorders>
              <w:top w:val="single" w:color="000000" w:sz="12" w:space="0"/>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widowControl/>
              <w:spacing w:line="560" w:lineRule="atLeast"/>
              <w:jc w:val="center"/>
              <w:textAlignment w:val="center"/>
              <w:rPr>
                <w:rFonts w:ascii="黑体" w:hAnsi="黑体" w:eastAsia="黑体" w:cs="宋体"/>
                <w:kern w:val="0"/>
                <w:sz w:val="24"/>
                <w:szCs w:val="24"/>
              </w:rPr>
            </w:pPr>
            <w:r>
              <w:rPr>
                <w:rFonts w:hint="eastAsia" w:ascii="黑体" w:hAnsi="黑体" w:eastAsia="黑体" w:cs="宋体"/>
                <w:kern w:val="0"/>
                <w:sz w:val="24"/>
                <w:szCs w:val="24"/>
              </w:rPr>
              <w:t>法律依据</w:t>
            </w:r>
          </w:p>
        </w:tc>
        <w:tc>
          <w:tcPr>
            <w:tcW w:w="952" w:type="dxa"/>
            <w:tcBorders>
              <w:top w:val="single" w:color="000000" w:sz="12" w:space="0"/>
              <w:left w:val="nil"/>
              <w:bottom w:val="single" w:color="000000" w:sz="8" w:space="0"/>
              <w:right w:val="single" w:color="000000" w:sz="12" w:space="0"/>
            </w:tcBorders>
            <w:shd w:val="clear" w:color="auto" w:fill="auto"/>
            <w:tcMar>
              <w:top w:w="15" w:type="dxa"/>
              <w:left w:w="15" w:type="dxa"/>
              <w:bottom w:w="15" w:type="dxa"/>
              <w:right w:w="15" w:type="dxa"/>
            </w:tcMar>
            <w:vAlign w:val="center"/>
          </w:tcPr>
          <w:p>
            <w:pPr>
              <w:widowControl/>
              <w:spacing w:line="560" w:lineRule="atLeast"/>
              <w:jc w:val="center"/>
              <w:textAlignment w:val="center"/>
              <w:rPr>
                <w:rFonts w:ascii="黑体" w:hAnsi="黑体" w:eastAsia="黑体" w:cs="宋体"/>
                <w:kern w:val="0"/>
                <w:sz w:val="24"/>
                <w:szCs w:val="24"/>
              </w:rPr>
            </w:pPr>
            <w:r>
              <w:rPr>
                <w:rFonts w:hint="eastAsia" w:ascii="黑体" w:hAnsi="黑体" w:eastAsia="黑体" w:cs="宋体"/>
                <w:kern w:val="0"/>
                <w:sz w:val="24"/>
                <w:szCs w:val="24"/>
              </w:rPr>
              <w:t>备注</w:t>
            </w:r>
          </w:p>
        </w:tc>
      </w:tr>
      <w:tr>
        <w:tblPrEx>
          <w:tblCellMar>
            <w:top w:w="0" w:type="dxa"/>
            <w:left w:w="0" w:type="dxa"/>
            <w:bottom w:w="0" w:type="dxa"/>
            <w:right w:w="0" w:type="dxa"/>
          </w:tblCellMar>
        </w:tblPrEx>
        <w:trPr>
          <w:trHeight w:val="567" w:hRule="atLeast"/>
          <w:jc w:val="center"/>
        </w:trPr>
        <w:tc>
          <w:tcPr>
            <w:tcW w:w="1168" w:type="dxa"/>
            <w:tcBorders>
              <w:top w:val="nil"/>
              <w:left w:val="single" w:color="000000" w:sz="12" w:space="0"/>
              <w:bottom w:val="single" w:color="000000" w:sz="8" w:space="0"/>
              <w:right w:val="single" w:color="000000" w:sz="8" w:space="0"/>
            </w:tcBorders>
            <w:shd w:val="clear" w:color="auto" w:fill="auto"/>
            <w:tcMar>
              <w:top w:w="15" w:type="dxa"/>
              <w:left w:w="15" w:type="dxa"/>
              <w:bottom w:w="15" w:type="dxa"/>
              <w:right w:w="15" w:type="dxa"/>
            </w:tcMar>
            <w:vAlign w:val="center"/>
          </w:tcPr>
          <w:p>
            <w:pPr>
              <w:numPr>
                <w:ilvl w:val="0"/>
                <w:numId w:val="1"/>
              </w:numPr>
              <w:ind w:left="0" w:leftChars="0" w:firstLine="0" w:firstLineChars="0"/>
              <w:jc w:val="center"/>
              <w:rPr>
                <w:rFonts w:hint="eastAsia" w:ascii="宋体" w:hAnsi="宋体" w:eastAsia="宋体" w:cs="宋体"/>
              </w:rPr>
            </w:pPr>
          </w:p>
        </w:tc>
        <w:tc>
          <w:tcPr>
            <w:tcW w:w="2881" w:type="dxa"/>
            <w:gridSpan w:val="3"/>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sz w:val="21"/>
                <w:szCs w:val="21"/>
              </w:rPr>
              <w:t>在雨水、污水分流地区，建设单位、施工单位将雨水管网、污水管网相互混接</w:t>
            </w:r>
          </w:p>
        </w:tc>
        <w:tc>
          <w:tcPr>
            <w:tcW w:w="1104" w:type="dxa"/>
            <w:gridSpan w:val="2"/>
            <w:tcBorders>
              <w:top w:val="nil"/>
              <w:left w:val="nil"/>
              <w:bottom w:val="single" w:color="000000" w:sz="8" w:space="0"/>
              <w:right w:val="single" w:color="auto" w:sz="8"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kern w:val="0"/>
                <w:sz w:val="21"/>
                <w:szCs w:val="21"/>
                <w:lang w:eastAsia="zh-CN"/>
              </w:rPr>
            </w:pPr>
            <w:r>
              <w:rPr>
                <w:rFonts w:hint="eastAsia" w:asciiTheme="minorEastAsia" w:hAnsiTheme="minorEastAsia" w:eastAsiaTheme="minorEastAsia" w:cstheme="minorEastAsia"/>
                <w:kern w:val="0"/>
                <w:sz w:val="21"/>
                <w:szCs w:val="21"/>
                <w:lang w:eastAsia="zh-CN"/>
              </w:rPr>
              <w:t>区住建局</w:t>
            </w:r>
          </w:p>
        </w:tc>
        <w:tc>
          <w:tcPr>
            <w:tcW w:w="200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sz w:val="21"/>
                <w:szCs w:val="21"/>
              </w:rPr>
              <w:t>未按照要求改正，未造成损失的</w:t>
            </w:r>
          </w:p>
        </w:tc>
        <w:tc>
          <w:tcPr>
            <w:tcW w:w="6301"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sz w:val="21"/>
                <w:szCs w:val="21"/>
              </w:rPr>
              <w:t>《城镇排水与污水处理条例》第四十八条：违反本条例规定，在雨水、污水分流地区，建设单位、施工单位将雨水管网、污水管网相互混接的，由城镇排水主管部门责令改正，处5万元以上10万元以下的罚款；造成损失的，依法承担赔偿责任。</w:t>
            </w:r>
          </w:p>
        </w:tc>
        <w:tc>
          <w:tcPr>
            <w:tcW w:w="952" w:type="dxa"/>
            <w:tcBorders>
              <w:top w:val="nil"/>
              <w:left w:val="nil"/>
              <w:bottom w:val="single" w:color="000000" w:sz="8" w:space="0"/>
              <w:right w:val="single" w:color="000000" w:sz="12" w:space="0"/>
            </w:tcBorders>
            <w:shd w:val="clear" w:color="auto" w:fill="auto"/>
            <w:tcMar>
              <w:top w:w="15" w:type="dxa"/>
              <w:left w:w="15" w:type="dxa"/>
              <w:bottom w:w="15" w:type="dxa"/>
              <w:right w:w="15" w:type="dxa"/>
            </w:tcMar>
            <w:vAlign w:val="center"/>
          </w:tcPr>
          <w:p>
            <w:pPr>
              <w:widowControl/>
              <w:jc w:val="center"/>
              <w:rPr>
                <w:rFonts w:hint="eastAsia" w:asciiTheme="minorEastAsia" w:hAnsiTheme="minorEastAsia" w:eastAsiaTheme="minorEastAsia" w:cstheme="minorEastAsia"/>
                <w:kern w:val="0"/>
                <w:sz w:val="21"/>
                <w:szCs w:val="21"/>
              </w:rPr>
            </w:pPr>
          </w:p>
        </w:tc>
      </w:tr>
      <w:tr>
        <w:tblPrEx>
          <w:tblCellMar>
            <w:top w:w="0" w:type="dxa"/>
            <w:left w:w="0" w:type="dxa"/>
            <w:bottom w:w="0" w:type="dxa"/>
            <w:right w:w="0" w:type="dxa"/>
          </w:tblCellMar>
        </w:tblPrEx>
        <w:trPr>
          <w:trHeight w:val="567" w:hRule="atLeast"/>
          <w:jc w:val="center"/>
        </w:trPr>
        <w:tc>
          <w:tcPr>
            <w:tcW w:w="1168" w:type="dxa"/>
            <w:tcBorders>
              <w:top w:val="nil"/>
              <w:left w:val="single" w:color="000000" w:sz="12" w:space="0"/>
              <w:bottom w:val="single" w:color="000000" w:sz="8" w:space="0"/>
              <w:right w:val="single" w:color="000000" w:sz="8" w:space="0"/>
            </w:tcBorders>
            <w:shd w:val="clear" w:color="auto" w:fill="auto"/>
            <w:tcMar>
              <w:top w:w="15" w:type="dxa"/>
              <w:left w:w="15" w:type="dxa"/>
              <w:bottom w:w="15" w:type="dxa"/>
              <w:right w:w="15" w:type="dxa"/>
            </w:tcMar>
            <w:vAlign w:val="center"/>
          </w:tcPr>
          <w:p>
            <w:pPr>
              <w:numPr>
                <w:ilvl w:val="0"/>
                <w:numId w:val="1"/>
              </w:numPr>
              <w:ind w:left="0" w:leftChars="0" w:firstLine="0" w:firstLineChars="0"/>
              <w:jc w:val="center"/>
              <w:rPr>
                <w:rFonts w:hint="eastAsia" w:ascii="宋体" w:hAnsi="宋体" w:eastAsia="宋体" w:cs="宋体"/>
              </w:rPr>
            </w:pPr>
          </w:p>
        </w:tc>
        <w:tc>
          <w:tcPr>
            <w:tcW w:w="2881" w:type="dxa"/>
            <w:gridSpan w:val="3"/>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sz w:val="21"/>
                <w:szCs w:val="21"/>
              </w:rPr>
              <w:t>城镇排水与污水处理设施覆盖范围内的排水单位和个人，未按照国家有关规定将污水排入城镇排水设施，或者在雨水、污水分流地区将污水排入雨水管网</w:t>
            </w:r>
          </w:p>
        </w:tc>
        <w:tc>
          <w:tcPr>
            <w:tcW w:w="1104" w:type="dxa"/>
            <w:gridSpan w:val="2"/>
            <w:tcBorders>
              <w:top w:val="nil"/>
              <w:left w:val="nil"/>
              <w:bottom w:val="single" w:color="000000" w:sz="8" w:space="0"/>
              <w:right w:val="single" w:color="auto" w:sz="8"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eastAsia="zh-CN"/>
              </w:rPr>
              <w:t>区住建局</w:t>
            </w:r>
          </w:p>
        </w:tc>
        <w:tc>
          <w:tcPr>
            <w:tcW w:w="200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sz w:val="21"/>
                <w:szCs w:val="21"/>
              </w:rPr>
              <w:t>限期内改正，且未造成严重后果的</w:t>
            </w:r>
          </w:p>
        </w:tc>
        <w:tc>
          <w:tcPr>
            <w:tcW w:w="6301"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sz w:val="21"/>
                <w:szCs w:val="21"/>
              </w:rPr>
              <w:t>《城镇排水与污水处理条例》第四十九条：违反本条例规定，城镇排水与污水处理设施覆盖范围内的排水单位和个人，未按照国家有关规定将污水排入城镇排水设施，或者在雨水、污水分流地区将污水排入雨水管网的，由城镇排水主管部门责令改正，给予警告；逾期不改正或者造成严重后果的，对单位处10万元以上20万元以下罚款，对个人处2万元以上10万元以下罚款；造成损失的，依法承担赔偿责任。</w:t>
            </w:r>
          </w:p>
        </w:tc>
        <w:tc>
          <w:tcPr>
            <w:tcW w:w="952" w:type="dxa"/>
            <w:tcBorders>
              <w:top w:val="nil"/>
              <w:left w:val="nil"/>
              <w:bottom w:val="single" w:color="000000" w:sz="8" w:space="0"/>
              <w:right w:val="single" w:color="000000" w:sz="12" w:space="0"/>
            </w:tcBorders>
            <w:shd w:val="clear" w:color="auto" w:fill="auto"/>
            <w:tcMar>
              <w:top w:w="15" w:type="dxa"/>
              <w:left w:w="15" w:type="dxa"/>
              <w:bottom w:w="15" w:type="dxa"/>
              <w:right w:w="15" w:type="dxa"/>
            </w:tcMar>
            <w:vAlign w:val="center"/>
          </w:tcPr>
          <w:p>
            <w:pPr>
              <w:widowControl/>
              <w:jc w:val="center"/>
              <w:rPr>
                <w:rFonts w:hint="eastAsia" w:asciiTheme="minorEastAsia" w:hAnsiTheme="minorEastAsia" w:eastAsiaTheme="minorEastAsia" w:cstheme="minorEastAsia"/>
                <w:kern w:val="0"/>
                <w:sz w:val="21"/>
                <w:szCs w:val="21"/>
              </w:rPr>
            </w:pPr>
          </w:p>
        </w:tc>
      </w:tr>
      <w:tr>
        <w:tblPrEx>
          <w:tblCellMar>
            <w:top w:w="0" w:type="dxa"/>
            <w:left w:w="0" w:type="dxa"/>
            <w:bottom w:w="0" w:type="dxa"/>
            <w:right w:w="0" w:type="dxa"/>
          </w:tblCellMar>
        </w:tblPrEx>
        <w:trPr>
          <w:trHeight w:val="567" w:hRule="atLeast"/>
          <w:jc w:val="center"/>
        </w:trPr>
        <w:tc>
          <w:tcPr>
            <w:tcW w:w="1168" w:type="dxa"/>
            <w:tcBorders>
              <w:top w:val="nil"/>
              <w:left w:val="single" w:color="000000" w:sz="12" w:space="0"/>
              <w:bottom w:val="single" w:color="000000" w:sz="8" w:space="0"/>
              <w:right w:val="single" w:color="000000" w:sz="8" w:space="0"/>
            </w:tcBorders>
            <w:shd w:val="clear" w:color="auto" w:fill="auto"/>
            <w:tcMar>
              <w:top w:w="15" w:type="dxa"/>
              <w:left w:w="15" w:type="dxa"/>
              <w:bottom w:w="15" w:type="dxa"/>
              <w:right w:w="15" w:type="dxa"/>
            </w:tcMar>
            <w:vAlign w:val="center"/>
          </w:tcPr>
          <w:p>
            <w:pPr>
              <w:numPr>
                <w:ilvl w:val="0"/>
                <w:numId w:val="1"/>
              </w:numPr>
              <w:ind w:left="0" w:leftChars="0" w:firstLine="0" w:firstLineChars="0"/>
              <w:jc w:val="center"/>
              <w:rPr>
                <w:rFonts w:hint="eastAsia" w:ascii="宋体" w:hAnsi="宋体" w:eastAsia="宋体" w:cs="宋体"/>
              </w:rPr>
            </w:pPr>
          </w:p>
        </w:tc>
        <w:tc>
          <w:tcPr>
            <w:tcW w:w="2881" w:type="dxa"/>
            <w:gridSpan w:val="3"/>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sz w:val="21"/>
                <w:szCs w:val="21"/>
              </w:rPr>
              <w:t>排水户未取得污水排入排水管网许可证向城镇排水设施排放污水</w:t>
            </w:r>
          </w:p>
        </w:tc>
        <w:tc>
          <w:tcPr>
            <w:tcW w:w="1104" w:type="dxa"/>
            <w:gridSpan w:val="2"/>
            <w:tcBorders>
              <w:top w:val="nil"/>
              <w:left w:val="nil"/>
              <w:bottom w:val="single" w:color="000000" w:sz="8" w:space="0"/>
              <w:right w:val="single" w:color="auto" w:sz="8"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eastAsia="zh-CN"/>
              </w:rPr>
              <w:t>区住建局</w:t>
            </w:r>
          </w:p>
        </w:tc>
        <w:tc>
          <w:tcPr>
            <w:tcW w:w="200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sz w:val="21"/>
                <w:szCs w:val="21"/>
              </w:rPr>
              <w:t>未按照要求改正，未造成严重后果的</w:t>
            </w:r>
          </w:p>
        </w:tc>
        <w:tc>
          <w:tcPr>
            <w:tcW w:w="6301"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sz w:val="21"/>
                <w:szCs w:val="21"/>
              </w:rPr>
              <w:t>《城镇排水与污水处理条例》第五十条第一款：违反本条例规定，排水户未取得污水排入排水管网许可证向城镇排水设施排放污水的，由城镇排水主管部门责令停止违法行为，限期采取治理措施，补办污水排入排水管网许可证，可以处50万元以下罚款；造成损失的，依法承担赔偿责任；构成犯罪的，依法追究刑事责任。</w:t>
            </w:r>
          </w:p>
        </w:tc>
        <w:tc>
          <w:tcPr>
            <w:tcW w:w="952" w:type="dxa"/>
            <w:tcBorders>
              <w:top w:val="nil"/>
              <w:left w:val="nil"/>
              <w:bottom w:val="single" w:color="000000" w:sz="8" w:space="0"/>
              <w:right w:val="single" w:color="000000" w:sz="12" w:space="0"/>
            </w:tcBorders>
            <w:shd w:val="clear" w:color="auto" w:fill="auto"/>
            <w:tcMar>
              <w:top w:w="15" w:type="dxa"/>
              <w:left w:w="15" w:type="dxa"/>
              <w:bottom w:w="15" w:type="dxa"/>
              <w:right w:w="15" w:type="dxa"/>
            </w:tcMar>
            <w:vAlign w:val="center"/>
          </w:tcPr>
          <w:p>
            <w:pPr>
              <w:widowControl/>
              <w:jc w:val="center"/>
              <w:rPr>
                <w:rFonts w:hint="eastAsia" w:asciiTheme="minorEastAsia" w:hAnsiTheme="minorEastAsia" w:eastAsiaTheme="minorEastAsia" w:cstheme="minorEastAsia"/>
                <w:kern w:val="0"/>
                <w:sz w:val="21"/>
                <w:szCs w:val="21"/>
              </w:rPr>
            </w:pPr>
          </w:p>
        </w:tc>
      </w:tr>
      <w:tr>
        <w:tblPrEx>
          <w:tblCellMar>
            <w:top w:w="0" w:type="dxa"/>
            <w:left w:w="0" w:type="dxa"/>
            <w:bottom w:w="0" w:type="dxa"/>
            <w:right w:w="0" w:type="dxa"/>
          </w:tblCellMar>
        </w:tblPrEx>
        <w:trPr>
          <w:trHeight w:val="567" w:hRule="atLeast"/>
          <w:jc w:val="center"/>
        </w:trPr>
        <w:tc>
          <w:tcPr>
            <w:tcW w:w="1168" w:type="dxa"/>
            <w:tcBorders>
              <w:top w:val="nil"/>
              <w:left w:val="single" w:color="000000" w:sz="12" w:space="0"/>
              <w:bottom w:val="single" w:color="000000" w:sz="8" w:space="0"/>
              <w:right w:val="single" w:color="000000" w:sz="8" w:space="0"/>
            </w:tcBorders>
            <w:shd w:val="clear" w:color="auto" w:fill="auto"/>
            <w:tcMar>
              <w:top w:w="15" w:type="dxa"/>
              <w:left w:w="15" w:type="dxa"/>
              <w:bottom w:w="15" w:type="dxa"/>
              <w:right w:w="15" w:type="dxa"/>
            </w:tcMar>
            <w:vAlign w:val="center"/>
          </w:tcPr>
          <w:p>
            <w:pPr>
              <w:numPr>
                <w:ilvl w:val="0"/>
                <w:numId w:val="1"/>
              </w:numPr>
              <w:ind w:left="0" w:leftChars="0" w:firstLine="0" w:firstLineChars="0"/>
              <w:jc w:val="center"/>
              <w:rPr>
                <w:rFonts w:hint="eastAsia" w:ascii="宋体" w:hAnsi="宋体" w:eastAsia="宋体" w:cs="宋体"/>
              </w:rPr>
            </w:pPr>
          </w:p>
        </w:tc>
        <w:tc>
          <w:tcPr>
            <w:tcW w:w="2881" w:type="dxa"/>
            <w:gridSpan w:val="3"/>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sz w:val="21"/>
                <w:szCs w:val="21"/>
              </w:rPr>
              <w:t>排水户不按照污水排入排水管网许可证的要求排放污水</w:t>
            </w:r>
          </w:p>
        </w:tc>
        <w:tc>
          <w:tcPr>
            <w:tcW w:w="1104" w:type="dxa"/>
            <w:gridSpan w:val="2"/>
            <w:tcBorders>
              <w:top w:val="nil"/>
              <w:left w:val="nil"/>
              <w:bottom w:val="single" w:color="000000" w:sz="8" w:space="0"/>
              <w:right w:val="single" w:color="auto" w:sz="8"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eastAsia="zh-CN"/>
              </w:rPr>
              <w:t>区住建局</w:t>
            </w:r>
          </w:p>
        </w:tc>
        <w:tc>
          <w:tcPr>
            <w:tcW w:w="200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sz w:val="21"/>
                <w:szCs w:val="21"/>
              </w:rPr>
              <w:t>限期内改正，未造成危害后果的</w:t>
            </w:r>
          </w:p>
        </w:tc>
        <w:tc>
          <w:tcPr>
            <w:tcW w:w="6301"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城镇排水与污水处理条例》第五十条第二款：违反本条例规定，排水户不按照污水排入排水管网许可证的要求排放污水的，由城镇排水主管部门责令停止违法行为，限期改正，可以处5万元以下罚款；造成严重后果的，吊销污水排入排水管网许可证，并处5万元以上50万元以下罚款，可以向社会予以通报；造成损失的，依法承担赔偿责任；构成犯罪的，依法追究刑事责任。</w:t>
            </w:r>
          </w:p>
        </w:tc>
        <w:tc>
          <w:tcPr>
            <w:tcW w:w="952" w:type="dxa"/>
            <w:tcBorders>
              <w:top w:val="nil"/>
              <w:left w:val="nil"/>
              <w:bottom w:val="single" w:color="000000" w:sz="8" w:space="0"/>
              <w:right w:val="single" w:color="000000" w:sz="12" w:space="0"/>
            </w:tcBorders>
            <w:shd w:val="clear" w:color="auto" w:fill="auto"/>
            <w:tcMar>
              <w:top w:w="15" w:type="dxa"/>
              <w:left w:w="15" w:type="dxa"/>
              <w:bottom w:w="15" w:type="dxa"/>
              <w:right w:w="15" w:type="dxa"/>
            </w:tcMar>
            <w:vAlign w:val="center"/>
          </w:tcPr>
          <w:p>
            <w:pPr>
              <w:widowControl/>
              <w:jc w:val="center"/>
              <w:rPr>
                <w:rFonts w:hint="eastAsia" w:asciiTheme="minorEastAsia" w:hAnsiTheme="minorEastAsia" w:eastAsiaTheme="minorEastAsia" w:cstheme="minorEastAsia"/>
                <w:kern w:val="0"/>
                <w:sz w:val="21"/>
                <w:szCs w:val="21"/>
              </w:rPr>
            </w:pPr>
          </w:p>
        </w:tc>
      </w:tr>
      <w:tr>
        <w:tblPrEx>
          <w:tblCellMar>
            <w:top w:w="0" w:type="dxa"/>
            <w:left w:w="0" w:type="dxa"/>
            <w:bottom w:w="0" w:type="dxa"/>
            <w:right w:w="0" w:type="dxa"/>
          </w:tblCellMar>
        </w:tblPrEx>
        <w:trPr>
          <w:trHeight w:val="567" w:hRule="atLeast"/>
          <w:jc w:val="center"/>
        </w:trPr>
        <w:tc>
          <w:tcPr>
            <w:tcW w:w="1168" w:type="dxa"/>
            <w:tcBorders>
              <w:top w:val="nil"/>
              <w:left w:val="single" w:color="000000" w:sz="12" w:space="0"/>
              <w:bottom w:val="single" w:color="000000" w:sz="8" w:space="0"/>
              <w:right w:val="single" w:color="000000" w:sz="8" w:space="0"/>
            </w:tcBorders>
            <w:shd w:val="clear" w:color="auto" w:fill="auto"/>
            <w:tcMar>
              <w:top w:w="15" w:type="dxa"/>
              <w:left w:w="15" w:type="dxa"/>
              <w:bottom w:w="15" w:type="dxa"/>
              <w:right w:w="15" w:type="dxa"/>
            </w:tcMar>
            <w:vAlign w:val="center"/>
          </w:tcPr>
          <w:p>
            <w:pPr>
              <w:numPr>
                <w:ilvl w:val="0"/>
                <w:numId w:val="1"/>
              </w:numPr>
              <w:ind w:left="0" w:leftChars="0" w:firstLine="0" w:firstLineChars="0"/>
              <w:jc w:val="center"/>
              <w:rPr>
                <w:rFonts w:hint="eastAsia" w:ascii="宋体" w:hAnsi="宋体" w:eastAsia="宋体" w:cs="宋体"/>
              </w:rPr>
            </w:pPr>
          </w:p>
        </w:tc>
        <w:tc>
          <w:tcPr>
            <w:tcW w:w="2880" w:type="dxa"/>
            <w:gridSpan w:val="2"/>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sz w:val="21"/>
                <w:szCs w:val="21"/>
              </w:rPr>
              <w:t>因城镇排水设施维护或者检修可能对排水造成影响或者严重影响，城镇排水设施维护运营单位未提前通知相关排水户的，或者未事先向城镇排水主管部门报告，采取应急处理措施的，或者未按照防汛要求对城镇排水设施进行全面检查、维护、清疏，影响汛期排水畅通</w:t>
            </w:r>
          </w:p>
        </w:tc>
        <w:tc>
          <w:tcPr>
            <w:tcW w:w="1105" w:type="dxa"/>
            <w:gridSpan w:val="3"/>
            <w:tcBorders>
              <w:top w:val="nil"/>
              <w:left w:val="nil"/>
              <w:bottom w:val="single" w:color="000000" w:sz="8" w:space="0"/>
              <w:right w:val="single" w:color="auto" w:sz="8"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eastAsia="zh-CN"/>
              </w:rPr>
              <w:t>区住建局</w:t>
            </w:r>
          </w:p>
        </w:tc>
        <w:tc>
          <w:tcPr>
            <w:tcW w:w="200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sz w:val="21"/>
                <w:szCs w:val="21"/>
              </w:rPr>
              <w:t>未按照要求改正，未造成严重后果</w:t>
            </w:r>
          </w:p>
        </w:tc>
        <w:tc>
          <w:tcPr>
            <w:tcW w:w="6301"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城镇排水与污水处理条例》第五十一条：违反本条例规定，因城镇排水设施维护或者检修可能对排水造成影响或者严重影响，城镇排水设施维护运营单位未提前通知相关排水户的，或者未事先向城镇排水主管部门报告，采取应急处理措施的，或者未按照防汛要求对城镇排水设施进行全面检查、维护、清疏，影响汛期排水畅通的，由城镇排水主管部门责令改正，给予警告；逾期不改正或者造成严重后果的，处10万元以上20万元以下罚款；造成损失的，依法承担赔偿责任。</w:t>
            </w:r>
          </w:p>
        </w:tc>
        <w:tc>
          <w:tcPr>
            <w:tcW w:w="952" w:type="dxa"/>
            <w:tcBorders>
              <w:top w:val="nil"/>
              <w:left w:val="nil"/>
              <w:bottom w:val="single" w:color="000000" w:sz="8" w:space="0"/>
              <w:right w:val="single" w:color="000000" w:sz="12" w:space="0"/>
            </w:tcBorders>
            <w:shd w:val="clear" w:color="auto" w:fill="auto"/>
            <w:tcMar>
              <w:top w:w="15" w:type="dxa"/>
              <w:left w:w="15" w:type="dxa"/>
              <w:bottom w:w="15" w:type="dxa"/>
              <w:right w:w="15" w:type="dxa"/>
            </w:tcMar>
            <w:vAlign w:val="center"/>
          </w:tcPr>
          <w:p>
            <w:pPr>
              <w:widowControl/>
              <w:jc w:val="center"/>
              <w:rPr>
                <w:rFonts w:hint="eastAsia" w:asciiTheme="minorEastAsia" w:hAnsiTheme="minorEastAsia" w:eastAsiaTheme="minorEastAsia" w:cstheme="minorEastAsia"/>
                <w:kern w:val="0"/>
                <w:sz w:val="21"/>
                <w:szCs w:val="21"/>
              </w:rPr>
            </w:pPr>
          </w:p>
        </w:tc>
      </w:tr>
      <w:tr>
        <w:tblPrEx>
          <w:tblCellMar>
            <w:top w:w="0" w:type="dxa"/>
            <w:left w:w="0" w:type="dxa"/>
            <w:bottom w:w="0" w:type="dxa"/>
            <w:right w:w="0" w:type="dxa"/>
          </w:tblCellMar>
        </w:tblPrEx>
        <w:trPr>
          <w:trHeight w:val="567" w:hRule="atLeast"/>
          <w:jc w:val="center"/>
        </w:trPr>
        <w:tc>
          <w:tcPr>
            <w:tcW w:w="1168" w:type="dxa"/>
            <w:tcBorders>
              <w:top w:val="nil"/>
              <w:left w:val="single" w:color="000000" w:sz="12" w:space="0"/>
              <w:bottom w:val="single" w:color="000000" w:sz="8" w:space="0"/>
              <w:right w:val="single" w:color="000000" w:sz="8" w:space="0"/>
            </w:tcBorders>
            <w:shd w:val="clear" w:color="auto" w:fill="auto"/>
            <w:tcMar>
              <w:top w:w="15" w:type="dxa"/>
              <w:left w:w="15" w:type="dxa"/>
              <w:bottom w:w="15" w:type="dxa"/>
              <w:right w:w="15" w:type="dxa"/>
            </w:tcMar>
            <w:vAlign w:val="center"/>
          </w:tcPr>
          <w:p>
            <w:pPr>
              <w:numPr>
                <w:ilvl w:val="0"/>
                <w:numId w:val="1"/>
              </w:numPr>
              <w:ind w:left="0" w:leftChars="0" w:firstLine="0" w:firstLineChars="0"/>
              <w:jc w:val="center"/>
              <w:rPr>
                <w:rFonts w:hint="eastAsia" w:ascii="宋体" w:hAnsi="宋体" w:eastAsia="宋体" w:cs="宋体"/>
              </w:rPr>
            </w:pPr>
          </w:p>
        </w:tc>
        <w:tc>
          <w:tcPr>
            <w:tcW w:w="2880" w:type="dxa"/>
            <w:gridSpan w:val="2"/>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未按照国家有关规定检测进出水水质的，或者未报送污水处理水质和水量、主要污染物削减量等信息和生产运营成本等信息的</w:t>
            </w:r>
          </w:p>
        </w:tc>
        <w:tc>
          <w:tcPr>
            <w:tcW w:w="1105" w:type="dxa"/>
            <w:gridSpan w:val="3"/>
            <w:tcBorders>
              <w:top w:val="nil"/>
              <w:left w:val="nil"/>
              <w:bottom w:val="single" w:color="000000" w:sz="8" w:space="0"/>
              <w:right w:val="single" w:color="auto" w:sz="8"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eastAsia="zh-CN"/>
              </w:rPr>
              <w:t>区住建局</w:t>
            </w:r>
          </w:p>
        </w:tc>
        <w:tc>
          <w:tcPr>
            <w:tcW w:w="200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sz w:val="21"/>
                <w:szCs w:val="21"/>
              </w:rPr>
              <w:t>已检测进出水水质，未及时报送的</w:t>
            </w:r>
          </w:p>
        </w:tc>
        <w:tc>
          <w:tcPr>
            <w:tcW w:w="6301"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sz w:val="21"/>
                <w:szCs w:val="21"/>
              </w:rPr>
              <w:t>《城镇排水与污水处理条例》第五十二条第一款：违反本条例规定，城镇污水处理设施维护运营单位未按照国家有关规定检测进出水水质的，或者未报送污水处理水质和水量、主要污染物削减量等信息和生产运营成本等信息的，由城镇排水主管部门责令改正，可以处5万元以下罚款；造成损失的，依法承担赔偿责任。</w:t>
            </w:r>
          </w:p>
        </w:tc>
        <w:tc>
          <w:tcPr>
            <w:tcW w:w="952" w:type="dxa"/>
            <w:tcBorders>
              <w:top w:val="nil"/>
              <w:left w:val="nil"/>
              <w:bottom w:val="single" w:color="000000" w:sz="8" w:space="0"/>
              <w:right w:val="single" w:color="000000" w:sz="12" w:space="0"/>
            </w:tcBorders>
            <w:shd w:val="clear" w:color="auto" w:fill="auto"/>
            <w:tcMar>
              <w:top w:w="15" w:type="dxa"/>
              <w:left w:w="15" w:type="dxa"/>
              <w:bottom w:w="15" w:type="dxa"/>
              <w:right w:w="15" w:type="dxa"/>
            </w:tcMar>
            <w:vAlign w:val="center"/>
          </w:tcPr>
          <w:p>
            <w:pPr>
              <w:widowControl/>
              <w:jc w:val="center"/>
              <w:rPr>
                <w:rFonts w:hint="eastAsia" w:asciiTheme="minorEastAsia" w:hAnsiTheme="minorEastAsia" w:eastAsiaTheme="minorEastAsia" w:cstheme="minorEastAsia"/>
                <w:kern w:val="0"/>
                <w:sz w:val="21"/>
                <w:szCs w:val="21"/>
              </w:rPr>
            </w:pPr>
          </w:p>
        </w:tc>
      </w:tr>
      <w:tr>
        <w:tblPrEx>
          <w:tblCellMar>
            <w:top w:w="0" w:type="dxa"/>
            <w:left w:w="0" w:type="dxa"/>
            <w:bottom w:w="0" w:type="dxa"/>
            <w:right w:w="0" w:type="dxa"/>
          </w:tblCellMar>
        </w:tblPrEx>
        <w:trPr>
          <w:trHeight w:val="567" w:hRule="atLeast"/>
          <w:jc w:val="center"/>
        </w:trPr>
        <w:tc>
          <w:tcPr>
            <w:tcW w:w="1168" w:type="dxa"/>
            <w:tcBorders>
              <w:top w:val="nil"/>
              <w:left w:val="single" w:color="000000" w:sz="12" w:space="0"/>
              <w:bottom w:val="single" w:color="000000" w:sz="8" w:space="0"/>
              <w:right w:val="single" w:color="000000" w:sz="8" w:space="0"/>
            </w:tcBorders>
            <w:shd w:val="clear" w:color="auto" w:fill="auto"/>
            <w:tcMar>
              <w:top w:w="15" w:type="dxa"/>
              <w:left w:w="15" w:type="dxa"/>
              <w:bottom w:w="15" w:type="dxa"/>
              <w:right w:w="15" w:type="dxa"/>
            </w:tcMar>
            <w:vAlign w:val="center"/>
          </w:tcPr>
          <w:p>
            <w:pPr>
              <w:numPr>
                <w:ilvl w:val="0"/>
                <w:numId w:val="1"/>
              </w:numPr>
              <w:ind w:left="0" w:leftChars="0" w:firstLine="0" w:firstLineChars="0"/>
              <w:jc w:val="center"/>
              <w:rPr>
                <w:rFonts w:hint="eastAsia" w:ascii="宋体" w:hAnsi="宋体" w:eastAsia="宋体" w:cs="宋体"/>
              </w:rPr>
            </w:pPr>
          </w:p>
        </w:tc>
        <w:tc>
          <w:tcPr>
            <w:tcW w:w="2880" w:type="dxa"/>
            <w:gridSpan w:val="2"/>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sz w:val="21"/>
                <w:szCs w:val="21"/>
              </w:rPr>
              <w:t>城镇污水处理设施维护运营单位擅自停运城镇污水处理设施，未按照规定事先报告或者采取应急处理措施</w:t>
            </w:r>
          </w:p>
        </w:tc>
        <w:tc>
          <w:tcPr>
            <w:tcW w:w="1105" w:type="dxa"/>
            <w:gridSpan w:val="3"/>
            <w:tcBorders>
              <w:top w:val="nil"/>
              <w:left w:val="nil"/>
              <w:bottom w:val="single" w:color="000000" w:sz="8" w:space="0"/>
              <w:right w:val="single" w:color="auto" w:sz="8"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eastAsia="zh-CN"/>
              </w:rPr>
              <w:t>区住建局</w:t>
            </w:r>
          </w:p>
        </w:tc>
        <w:tc>
          <w:tcPr>
            <w:tcW w:w="200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逾期不改正，造成轻微危害后果的</w:t>
            </w:r>
          </w:p>
        </w:tc>
        <w:tc>
          <w:tcPr>
            <w:tcW w:w="6301"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城镇排水与污水处理条例》第五十二条第二款：违反本条例规定，城镇污水处理设施维护运营单位擅自停运城镇污水处理设施，未按照规定事先报告或者采取应急处理措施的，由城镇排水主管部门责令改正，给予警告；逾期不改正或者造成严重后果的，处10万元以上50万元以下罚款；造成损失的，依法承担赔偿责任。</w:t>
            </w:r>
          </w:p>
        </w:tc>
        <w:tc>
          <w:tcPr>
            <w:tcW w:w="952" w:type="dxa"/>
            <w:tcBorders>
              <w:top w:val="nil"/>
              <w:left w:val="nil"/>
              <w:bottom w:val="single" w:color="000000" w:sz="8" w:space="0"/>
              <w:right w:val="single" w:color="000000" w:sz="12" w:space="0"/>
            </w:tcBorders>
            <w:shd w:val="clear" w:color="auto" w:fill="auto"/>
            <w:tcMar>
              <w:top w:w="15" w:type="dxa"/>
              <w:left w:w="15" w:type="dxa"/>
              <w:bottom w:w="15" w:type="dxa"/>
              <w:right w:w="15" w:type="dxa"/>
            </w:tcMar>
            <w:vAlign w:val="center"/>
          </w:tcPr>
          <w:p>
            <w:pPr>
              <w:widowControl/>
              <w:jc w:val="center"/>
              <w:rPr>
                <w:rFonts w:hint="eastAsia" w:asciiTheme="minorEastAsia" w:hAnsiTheme="minorEastAsia" w:eastAsiaTheme="minorEastAsia" w:cstheme="minorEastAsia"/>
                <w:kern w:val="0"/>
                <w:sz w:val="21"/>
                <w:szCs w:val="21"/>
              </w:rPr>
            </w:pPr>
          </w:p>
        </w:tc>
      </w:tr>
      <w:tr>
        <w:tblPrEx>
          <w:tblCellMar>
            <w:top w:w="0" w:type="dxa"/>
            <w:left w:w="0" w:type="dxa"/>
            <w:bottom w:w="0" w:type="dxa"/>
            <w:right w:w="0" w:type="dxa"/>
          </w:tblCellMar>
        </w:tblPrEx>
        <w:trPr>
          <w:trHeight w:val="567" w:hRule="atLeast"/>
          <w:jc w:val="center"/>
        </w:trPr>
        <w:tc>
          <w:tcPr>
            <w:tcW w:w="1168" w:type="dxa"/>
            <w:tcBorders>
              <w:top w:val="nil"/>
              <w:left w:val="single" w:color="000000" w:sz="12" w:space="0"/>
              <w:bottom w:val="single" w:color="000000" w:sz="8" w:space="0"/>
              <w:right w:val="single" w:color="000000" w:sz="8" w:space="0"/>
            </w:tcBorders>
            <w:shd w:val="clear" w:color="auto" w:fill="auto"/>
            <w:tcMar>
              <w:top w:w="15" w:type="dxa"/>
              <w:left w:w="15" w:type="dxa"/>
              <w:bottom w:w="15" w:type="dxa"/>
              <w:right w:w="15" w:type="dxa"/>
            </w:tcMar>
            <w:vAlign w:val="center"/>
          </w:tcPr>
          <w:p>
            <w:pPr>
              <w:numPr>
                <w:ilvl w:val="0"/>
                <w:numId w:val="1"/>
              </w:numPr>
              <w:ind w:left="0" w:leftChars="0" w:firstLine="0" w:firstLineChars="0"/>
              <w:jc w:val="center"/>
              <w:rPr>
                <w:rFonts w:hint="eastAsia" w:ascii="宋体" w:hAnsi="宋体" w:eastAsia="宋体" w:cs="宋体"/>
              </w:rPr>
            </w:pPr>
          </w:p>
        </w:tc>
        <w:tc>
          <w:tcPr>
            <w:tcW w:w="2880" w:type="dxa"/>
            <w:gridSpan w:val="2"/>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排水单位或者个人不缴纳污水处理费的</w:t>
            </w:r>
          </w:p>
        </w:tc>
        <w:tc>
          <w:tcPr>
            <w:tcW w:w="1105" w:type="dxa"/>
            <w:gridSpan w:val="3"/>
            <w:tcBorders>
              <w:top w:val="nil"/>
              <w:left w:val="nil"/>
              <w:bottom w:val="single" w:color="000000" w:sz="8" w:space="0"/>
              <w:right w:val="single" w:color="auto" w:sz="8"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eastAsia="zh-CN"/>
              </w:rPr>
              <w:t>区住建局</w:t>
            </w:r>
          </w:p>
        </w:tc>
        <w:tc>
          <w:tcPr>
            <w:tcW w:w="200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sz w:val="21"/>
                <w:szCs w:val="21"/>
              </w:rPr>
              <w:t>造成轻微危害后果的</w:t>
            </w:r>
          </w:p>
        </w:tc>
        <w:tc>
          <w:tcPr>
            <w:tcW w:w="6301"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sz w:val="21"/>
                <w:szCs w:val="21"/>
              </w:rPr>
              <w:t>《城镇排水与污水处理条例》第五十四条：违反本条例规定，排水单位或者个人不缴纳污水处理费的，由城镇排水主管部门责令限期缴纳，逾期拒不缴纳的，处应缴纳污水处理费数额1倍以上3倍以下罚款。</w:t>
            </w:r>
          </w:p>
        </w:tc>
        <w:tc>
          <w:tcPr>
            <w:tcW w:w="952" w:type="dxa"/>
            <w:tcBorders>
              <w:top w:val="nil"/>
              <w:left w:val="nil"/>
              <w:bottom w:val="single" w:color="000000" w:sz="8" w:space="0"/>
              <w:right w:val="single" w:color="000000" w:sz="12" w:space="0"/>
            </w:tcBorders>
            <w:shd w:val="clear" w:color="auto" w:fill="auto"/>
            <w:tcMar>
              <w:top w:w="15" w:type="dxa"/>
              <w:left w:w="15" w:type="dxa"/>
              <w:bottom w:w="15" w:type="dxa"/>
              <w:right w:w="15" w:type="dxa"/>
            </w:tcMar>
            <w:vAlign w:val="center"/>
          </w:tcPr>
          <w:p>
            <w:pPr>
              <w:widowControl/>
              <w:jc w:val="center"/>
              <w:rPr>
                <w:rFonts w:hint="eastAsia" w:asciiTheme="minorEastAsia" w:hAnsiTheme="minorEastAsia" w:eastAsiaTheme="minorEastAsia" w:cstheme="minorEastAsia"/>
                <w:kern w:val="0"/>
                <w:sz w:val="21"/>
                <w:szCs w:val="21"/>
              </w:rPr>
            </w:pPr>
          </w:p>
        </w:tc>
      </w:tr>
      <w:tr>
        <w:tblPrEx>
          <w:tblCellMar>
            <w:top w:w="0" w:type="dxa"/>
            <w:left w:w="0" w:type="dxa"/>
            <w:bottom w:w="0" w:type="dxa"/>
            <w:right w:w="0" w:type="dxa"/>
          </w:tblCellMar>
        </w:tblPrEx>
        <w:trPr>
          <w:trHeight w:val="567" w:hRule="atLeast"/>
          <w:jc w:val="center"/>
        </w:trPr>
        <w:tc>
          <w:tcPr>
            <w:tcW w:w="1168" w:type="dxa"/>
            <w:tcBorders>
              <w:top w:val="nil"/>
              <w:left w:val="single" w:color="000000" w:sz="12" w:space="0"/>
              <w:bottom w:val="single" w:color="000000" w:sz="8" w:space="0"/>
              <w:right w:val="single" w:color="000000" w:sz="8" w:space="0"/>
            </w:tcBorders>
            <w:shd w:val="clear" w:color="auto" w:fill="auto"/>
            <w:tcMar>
              <w:top w:w="15" w:type="dxa"/>
              <w:left w:w="15" w:type="dxa"/>
              <w:bottom w:w="15" w:type="dxa"/>
              <w:right w:w="15" w:type="dxa"/>
            </w:tcMar>
            <w:vAlign w:val="center"/>
          </w:tcPr>
          <w:p>
            <w:pPr>
              <w:numPr>
                <w:ilvl w:val="0"/>
                <w:numId w:val="1"/>
              </w:numPr>
              <w:ind w:left="0" w:leftChars="0" w:firstLine="0" w:firstLineChars="0"/>
              <w:jc w:val="center"/>
              <w:rPr>
                <w:rFonts w:hint="eastAsia" w:ascii="宋体" w:hAnsi="宋体" w:eastAsia="宋体" w:cs="宋体"/>
              </w:rPr>
            </w:pPr>
          </w:p>
        </w:tc>
        <w:tc>
          <w:tcPr>
            <w:tcW w:w="2881" w:type="dxa"/>
            <w:gridSpan w:val="3"/>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sz w:val="21"/>
                <w:szCs w:val="21"/>
              </w:rPr>
              <w:t>未按照国家有关规定履行日常巡查、维修和养护责任，保障设施安全运行的；未及时采取防护措施、组织事故抢修的；因巡查、维护不到位，导致窨井盖丢失、损毁，造成人员伤亡和财产损失的。</w:t>
            </w:r>
          </w:p>
        </w:tc>
        <w:tc>
          <w:tcPr>
            <w:tcW w:w="1104" w:type="dxa"/>
            <w:gridSpan w:val="2"/>
            <w:tcBorders>
              <w:top w:val="nil"/>
              <w:left w:val="nil"/>
              <w:bottom w:val="single" w:color="000000" w:sz="8" w:space="0"/>
              <w:right w:val="single" w:color="auto" w:sz="8"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eastAsia="zh-CN"/>
              </w:rPr>
              <w:t>区住建局</w:t>
            </w:r>
          </w:p>
        </w:tc>
        <w:tc>
          <w:tcPr>
            <w:tcW w:w="200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sz w:val="21"/>
                <w:szCs w:val="21"/>
              </w:rPr>
              <w:t>逾期不改正，造成轻微危害后果的</w:t>
            </w:r>
          </w:p>
        </w:tc>
        <w:tc>
          <w:tcPr>
            <w:tcW w:w="6301"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sz w:val="21"/>
                <w:szCs w:val="21"/>
              </w:rPr>
              <w:t>《城镇排水与污水处理条例》第五十五条：违反本条例规定，城镇排水与污水处理设施维护运营单位有下列情形之一的，由城镇排水主管部门责令改正，给予警告；逾期不改正或者造成严重后果的，处10万元以上50万元以下罚款；造成损失的，依法承担赔偿责任；构成犯罪的，依法追究刑事责任：</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（一）未按照国家有关规定履行日常巡查、维修和养护责任，保障设施安全运行的；</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（二）未及时采取防护措施、组织事故抢修的；</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（三）因巡查、维护不到位，导致窨井盖丢失、损毁，造成人员伤亡和财产损失的。</w:t>
            </w:r>
          </w:p>
        </w:tc>
        <w:tc>
          <w:tcPr>
            <w:tcW w:w="952" w:type="dxa"/>
            <w:tcBorders>
              <w:top w:val="nil"/>
              <w:left w:val="nil"/>
              <w:bottom w:val="single" w:color="000000" w:sz="8" w:space="0"/>
              <w:right w:val="single" w:color="000000" w:sz="12" w:space="0"/>
            </w:tcBorders>
            <w:shd w:val="clear" w:color="auto" w:fill="auto"/>
            <w:tcMar>
              <w:top w:w="15" w:type="dxa"/>
              <w:left w:w="15" w:type="dxa"/>
              <w:bottom w:w="15" w:type="dxa"/>
              <w:right w:w="15" w:type="dxa"/>
            </w:tcMar>
            <w:vAlign w:val="center"/>
          </w:tcPr>
          <w:p>
            <w:pPr>
              <w:widowControl/>
              <w:jc w:val="center"/>
              <w:rPr>
                <w:rFonts w:hint="eastAsia" w:asciiTheme="minorEastAsia" w:hAnsiTheme="minorEastAsia" w:eastAsiaTheme="minorEastAsia" w:cstheme="minorEastAsia"/>
                <w:kern w:val="0"/>
                <w:sz w:val="21"/>
                <w:szCs w:val="21"/>
              </w:rPr>
            </w:pPr>
          </w:p>
        </w:tc>
      </w:tr>
      <w:tr>
        <w:tblPrEx>
          <w:tblCellMar>
            <w:top w:w="0" w:type="dxa"/>
            <w:left w:w="0" w:type="dxa"/>
            <w:bottom w:w="0" w:type="dxa"/>
            <w:right w:w="0" w:type="dxa"/>
          </w:tblCellMar>
        </w:tblPrEx>
        <w:trPr>
          <w:trHeight w:val="567" w:hRule="atLeast"/>
          <w:jc w:val="center"/>
        </w:trPr>
        <w:tc>
          <w:tcPr>
            <w:tcW w:w="1168" w:type="dxa"/>
            <w:tcBorders>
              <w:top w:val="nil"/>
              <w:left w:val="single" w:color="000000" w:sz="12" w:space="0"/>
              <w:bottom w:val="single" w:color="000000" w:sz="8" w:space="0"/>
              <w:right w:val="single" w:color="000000" w:sz="8" w:space="0"/>
            </w:tcBorders>
            <w:shd w:val="clear" w:color="auto" w:fill="auto"/>
            <w:tcMar>
              <w:top w:w="15" w:type="dxa"/>
              <w:left w:w="15" w:type="dxa"/>
              <w:bottom w:w="15" w:type="dxa"/>
              <w:right w:w="15" w:type="dxa"/>
            </w:tcMar>
            <w:vAlign w:val="center"/>
          </w:tcPr>
          <w:p>
            <w:pPr>
              <w:numPr>
                <w:ilvl w:val="0"/>
                <w:numId w:val="1"/>
              </w:numPr>
              <w:ind w:left="0" w:leftChars="0" w:firstLine="0" w:firstLineChars="0"/>
              <w:jc w:val="center"/>
              <w:rPr>
                <w:rFonts w:hint="eastAsia" w:ascii="宋体" w:hAnsi="宋体" w:eastAsia="宋体" w:cs="宋体"/>
              </w:rPr>
            </w:pPr>
          </w:p>
        </w:tc>
        <w:tc>
          <w:tcPr>
            <w:tcW w:w="2881" w:type="dxa"/>
            <w:gridSpan w:val="3"/>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sz w:val="21"/>
                <w:szCs w:val="21"/>
              </w:rPr>
              <w:t>从事危及城镇排水与污水处理设施安全的活动</w:t>
            </w:r>
          </w:p>
        </w:tc>
        <w:tc>
          <w:tcPr>
            <w:tcW w:w="1104" w:type="dxa"/>
            <w:gridSpan w:val="2"/>
            <w:tcBorders>
              <w:top w:val="nil"/>
              <w:left w:val="nil"/>
              <w:bottom w:val="single" w:color="000000" w:sz="8" w:space="0"/>
              <w:right w:val="single" w:color="auto" w:sz="8"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eastAsia="zh-CN"/>
              </w:rPr>
              <w:t>区住建局</w:t>
            </w:r>
          </w:p>
        </w:tc>
        <w:tc>
          <w:tcPr>
            <w:tcW w:w="200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sz w:val="21"/>
                <w:szCs w:val="21"/>
              </w:rPr>
              <w:t>逾期不改正，造成轻微危害后果的</w:t>
            </w:r>
          </w:p>
        </w:tc>
        <w:tc>
          <w:tcPr>
            <w:tcW w:w="6301"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sz w:val="21"/>
                <w:szCs w:val="21"/>
              </w:rPr>
              <w:t>《城镇排水与污水处理条例》第五十六条：违反本条例规定，从事危及城镇排水与污水处理设施安全的活动的，由城镇排水主管部门责令停止违法行为，限期恢复原状或者采取其他补救措施，给予警告；逾期不采取补救措施或者造成严重后果的，对单位处10万元以上30万元以下罚款，对个人处2万元以上10万元以下罚款；造成损失的，依法承担赔偿责任；构成犯罪的，依法追究刑事责任。</w:t>
            </w:r>
          </w:p>
        </w:tc>
        <w:tc>
          <w:tcPr>
            <w:tcW w:w="952" w:type="dxa"/>
            <w:tcBorders>
              <w:top w:val="nil"/>
              <w:left w:val="nil"/>
              <w:bottom w:val="single" w:color="000000" w:sz="8" w:space="0"/>
              <w:right w:val="single" w:color="000000" w:sz="12" w:space="0"/>
            </w:tcBorders>
            <w:shd w:val="clear" w:color="auto" w:fill="auto"/>
            <w:tcMar>
              <w:top w:w="15" w:type="dxa"/>
              <w:left w:w="15" w:type="dxa"/>
              <w:bottom w:w="15" w:type="dxa"/>
              <w:right w:w="15" w:type="dxa"/>
            </w:tcMar>
            <w:vAlign w:val="center"/>
          </w:tcPr>
          <w:p>
            <w:pPr>
              <w:widowControl/>
              <w:jc w:val="center"/>
              <w:rPr>
                <w:rFonts w:hint="eastAsia" w:asciiTheme="minorEastAsia" w:hAnsiTheme="minorEastAsia" w:eastAsiaTheme="minorEastAsia" w:cstheme="minorEastAsia"/>
                <w:kern w:val="0"/>
                <w:sz w:val="21"/>
                <w:szCs w:val="21"/>
              </w:rPr>
            </w:pPr>
          </w:p>
        </w:tc>
      </w:tr>
      <w:tr>
        <w:tblPrEx>
          <w:tblCellMar>
            <w:top w:w="0" w:type="dxa"/>
            <w:left w:w="0" w:type="dxa"/>
            <w:bottom w:w="0" w:type="dxa"/>
            <w:right w:w="0" w:type="dxa"/>
          </w:tblCellMar>
        </w:tblPrEx>
        <w:trPr>
          <w:trHeight w:val="567" w:hRule="atLeast"/>
          <w:jc w:val="center"/>
        </w:trPr>
        <w:tc>
          <w:tcPr>
            <w:tcW w:w="1168" w:type="dxa"/>
            <w:tcBorders>
              <w:top w:val="nil"/>
              <w:left w:val="single" w:color="000000" w:sz="12" w:space="0"/>
              <w:bottom w:val="single" w:color="000000" w:sz="8" w:space="0"/>
              <w:right w:val="single" w:color="000000" w:sz="8" w:space="0"/>
            </w:tcBorders>
            <w:shd w:val="clear" w:color="auto" w:fill="auto"/>
            <w:tcMar>
              <w:top w:w="15" w:type="dxa"/>
              <w:left w:w="15" w:type="dxa"/>
              <w:bottom w:w="15" w:type="dxa"/>
              <w:right w:w="15" w:type="dxa"/>
            </w:tcMar>
            <w:vAlign w:val="center"/>
          </w:tcPr>
          <w:p>
            <w:pPr>
              <w:numPr>
                <w:ilvl w:val="0"/>
                <w:numId w:val="1"/>
              </w:numPr>
              <w:ind w:left="0" w:leftChars="0" w:firstLine="0" w:firstLineChars="0"/>
              <w:jc w:val="center"/>
              <w:rPr>
                <w:rFonts w:hint="eastAsia" w:ascii="宋体" w:hAnsi="宋体" w:eastAsia="宋体" w:cs="宋体"/>
              </w:rPr>
            </w:pPr>
          </w:p>
        </w:tc>
        <w:tc>
          <w:tcPr>
            <w:tcW w:w="2881" w:type="dxa"/>
            <w:gridSpan w:val="3"/>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未与施工单位、设施维护运营单位等共同制定设施保护方案，并采取相应的安全防护措施</w:t>
            </w:r>
          </w:p>
        </w:tc>
        <w:tc>
          <w:tcPr>
            <w:tcW w:w="1104" w:type="dxa"/>
            <w:gridSpan w:val="2"/>
            <w:tcBorders>
              <w:top w:val="nil"/>
              <w:left w:val="nil"/>
              <w:bottom w:val="single" w:color="000000" w:sz="8" w:space="0"/>
              <w:right w:val="single" w:color="auto" w:sz="8"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eastAsia="zh-CN"/>
              </w:rPr>
              <w:t>区住建局</w:t>
            </w:r>
          </w:p>
        </w:tc>
        <w:tc>
          <w:tcPr>
            <w:tcW w:w="200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在限期内改正，未造成严重后果的</w:t>
            </w:r>
          </w:p>
        </w:tc>
        <w:tc>
          <w:tcPr>
            <w:tcW w:w="6301"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城镇排水与污水处理条例》第五十七条第一款：违反本条例规定，有关单位未与施工单位、设施维护运营单位等共同制定设施保护方案，并采取相应的安全防护措施的，由城镇排水主管部门责令改正，处2万元以上5万元以下罚款；造成严重后果的，处5万元以上10万元以下罚款；造成损失的，依法承担赔偿责任；构成犯罪的，依法追究刑事责任。</w:t>
            </w:r>
          </w:p>
        </w:tc>
        <w:tc>
          <w:tcPr>
            <w:tcW w:w="952" w:type="dxa"/>
            <w:tcBorders>
              <w:top w:val="nil"/>
              <w:left w:val="nil"/>
              <w:bottom w:val="single" w:color="000000" w:sz="8" w:space="0"/>
              <w:right w:val="single" w:color="000000" w:sz="12" w:space="0"/>
            </w:tcBorders>
            <w:shd w:val="clear" w:color="auto" w:fill="auto"/>
            <w:tcMar>
              <w:top w:w="15" w:type="dxa"/>
              <w:left w:w="15" w:type="dxa"/>
              <w:bottom w:w="15" w:type="dxa"/>
              <w:right w:w="15" w:type="dxa"/>
            </w:tcMar>
            <w:vAlign w:val="center"/>
          </w:tcPr>
          <w:p>
            <w:pPr>
              <w:widowControl/>
              <w:jc w:val="center"/>
              <w:rPr>
                <w:rFonts w:hint="eastAsia" w:asciiTheme="minorEastAsia" w:hAnsiTheme="minorEastAsia" w:eastAsiaTheme="minorEastAsia" w:cstheme="minorEastAsia"/>
                <w:kern w:val="0"/>
                <w:sz w:val="21"/>
                <w:szCs w:val="21"/>
              </w:rPr>
            </w:pPr>
          </w:p>
        </w:tc>
      </w:tr>
      <w:tr>
        <w:tblPrEx>
          <w:tblCellMar>
            <w:top w:w="0" w:type="dxa"/>
            <w:left w:w="0" w:type="dxa"/>
            <w:bottom w:w="0" w:type="dxa"/>
            <w:right w:w="0" w:type="dxa"/>
          </w:tblCellMar>
        </w:tblPrEx>
        <w:trPr>
          <w:trHeight w:val="567" w:hRule="atLeast"/>
          <w:jc w:val="center"/>
        </w:trPr>
        <w:tc>
          <w:tcPr>
            <w:tcW w:w="1168" w:type="dxa"/>
            <w:tcBorders>
              <w:top w:val="nil"/>
              <w:left w:val="single" w:color="000000" w:sz="12" w:space="0"/>
              <w:bottom w:val="single" w:color="000000" w:sz="8" w:space="0"/>
              <w:right w:val="single" w:color="000000" w:sz="8" w:space="0"/>
            </w:tcBorders>
            <w:shd w:val="clear" w:color="auto" w:fill="auto"/>
            <w:tcMar>
              <w:top w:w="15" w:type="dxa"/>
              <w:left w:w="15" w:type="dxa"/>
              <w:bottom w:w="15" w:type="dxa"/>
              <w:right w:w="15" w:type="dxa"/>
            </w:tcMar>
            <w:vAlign w:val="center"/>
          </w:tcPr>
          <w:p>
            <w:pPr>
              <w:numPr>
                <w:ilvl w:val="0"/>
                <w:numId w:val="1"/>
              </w:numPr>
              <w:ind w:left="0" w:leftChars="0" w:firstLine="0" w:firstLineChars="0"/>
              <w:jc w:val="center"/>
              <w:rPr>
                <w:rFonts w:hint="eastAsia" w:ascii="宋体" w:hAnsi="宋体" w:eastAsia="宋体" w:cs="宋体"/>
              </w:rPr>
            </w:pPr>
          </w:p>
        </w:tc>
        <w:tc>
          <w:tcPr>
            <w:tcW w:w="2881" w:type="dxa"/>
            <w:gridSpan w:val="3"/>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擅自拆除、改动城镇排水与污水处理设施</w:t>
            </w:r>
          </w:p>
        </w:tc>
        <w:tc>
          <w:tcPr>
            <w:tcW w:w="1104" w:type="dxa"/>
            <w:gridSpan w:val="2"/>
            <w:tcBorders>
              <w:top w:val="nil"/>
              <w:left w:val="nil"/>
              <w:bottom w:val="single" w:color="000000" w:sz="8" w:space="0"/>
              <w:right w:val="single" w:color="auto" w:sz="8"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eastAsia="zh-CN"/>
              </w:rPr>
              <w:t>区住建局</w:t>
            </w:r>
          </w:p>
        </w:tc>
        <w:tc>
          <w:tcPr>
            <w:tcW w:w="200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限期内改正，恢复原状或者采取其他补救措施，未造成严重后果的</w:t>
            </w:r>
          </w:p>
        </w:tc>
        <w:tc>
          <w:tcPr>
            <w:tcW w:w="6301"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城镇排水与污水处理条例》第五十七条第二款：违反本条例规定，擅自拆除、改动城镇排水与污水处理设施的，由城镇排水主管部门责令改正，恢复原状或者采取其他补救措施，处5万元以上10万元以下罚款；造成严重后果的，处10万元以上30万元以下罚款；造成损失的，依法承担赔偿责任；构成犯罪的，依法追究刑事责任。</w:t>
            </w:r>
          </w:p>
        </w:tc>
        <w:tc>
          <w:tcPr>
            <w:tcW w:w="952" w:type="dxa"/>
            <w:tcBorders>
              <w:top w:val="nil"/>
              <w:left w:val="nil"/>
              <w:bottom w:val="single" w:color="000000" w:sz="8" w:space="0"/>
              <w:right w:val="single" w:color="000000" w:sz="12" w:space="0"/>
            </w:tcBorders>
            <w:shd w:val="clear" w:color="auto" w:fill="auto"/>
            <w:tcMar>
              <w:top w:w="15" w:type="dxa"/>
              <w:left w:w="15" w:type="dxa"/>
              <w:bottom w:w="15" w:type="dxa"/>
              <w:right w:w="15" w:type="dxa"/>
            </w:tcMar>
            <w:vAlign w:val="center"/>
          </w:tcPr>
          <w:p>
            <w:pPr>
              <w:widowControl/>
              <w:jc w:val="center"/>
              <w:rPr>
                <w:rFonts w:hint="eastAsia" w:asciiTheme="minorEastAsia" w:hAnsiTheme="minorEastAsia" w:eastAsiaTheme="minorEastAsia" w:cstheme="minorEastAsia"/>
                <w:kern w:val="0"/>
                <w:sz w:val="21"/>
                <w:szCs w:val="21"/>
              </w:rPr>
            </w:pPr>
          </w:p>
        </w:tc>
      </w:tr>
      <w:tr>
        <w:tblPrEx>
          <w:tblCellMar>
            <w:top w:w="0" w:type="dxa"/>
            <w:left w:w="0" w:type="dxa"/>
            <w:bottom w:w="0" w:type="dxa"/>
            <w:right w:w="0" w:type="dxa"/>
          </w:tblCellMar>
        </w:tblPrEx>
        <w:trPr>
          <w:trHeight w:val="567" w:hRule="atLeast"/>
          <w:jc w:val="center"/>
        </w:trPr>
        <w:tc>
          <w:tcPr>
            <w:tcW w:w="1168" w:type="dxa"/>
            <w:tcBorders>
              <w:top w:val="nil"/>
              <w:left w:val="single" w:color="000000" w:sz="12" w:space="0"/>
              <w:bottom w:val="single" w:color="000000" w:sz="8" w:space="0"/>
              <w:right w:val="single" w:color="000000" w:sz="8" w:space="0"/>
            </w:tcBorders>
            <w:shd w:val="clear" w:color="auto" w:fill="auto"/>
            <w:tcMar>
              <w:top w:w="15" w:type="dxa"/>
              <w:left w:w="15" w:type="dxa"/>
              <w:bottom w:w="15" w:type="dxa"/>
              <w:right w:w="15" w:type="dxa"/>
            </w:tcMar>
            <w:vAlign w:val="center"/>
          </w:tcPr>
          <w:p>
            <w:pPr>
              <w:numPr>
                <w:ilvl w:val="0"/>
                <w:numId w:val="1"/>
              </w:numPr>
              <w:ind w:left="0" w:leftChars="0" w:firstLine="0" w:firstLineChars="0"/>
              <w:jc w:val="center"/>
              <w:rPr>
                <w:rFonts w:hint="eastAsia" w:ascii="宋体" w:hAnsi="宋体" w:eastAsia="宋体" w:cs="宋体"/>
              </w:rPr>
            </w:pPr>
          </w:p>
        </w:tc>
        <w:tc>
          <w:tcPr>
            <w:tcW w:w="2881" w:type="dxa"/>
            <w:gridSpan w:val="3"/>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对污泥流向、用途、用量等未进行跟踪、记录，或者处理后的污泥不符合国家有关标准</w:t>
            </w:r>
          </w:p>
        </w:tc>
        <w:tc>
          <w:tcPr>
            <w:tcW w:w="1104" w:type="dxa"/>
            <w:gridSpan w:val="2"/>
            <w:tcBorders>
              <w:top w:val="nil"/>
              <w:left w:val="nil"/>
              <w:bottom w:val="single" w:color="000000" w:sz="8" w:space="0"/>
              <w:right w:val="single" w:color="auto" w:sz="8"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eastAsia="zh-CN"/>
              </w:rPr>
              <w:t>区住建局</w:t>
            </w:r>
          </w:p>
        </w:tc>
        <w:tc>
          <w:tcPr>
            <w:tcW w:w="200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按要求改正的，未造成严重后果</w:t>
            </w:r>
          </w:p>
        </w:tc>
        <w:tc>
          <w:tcPr>
            <w:tcW w:w="6301"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中华人民共和国固体废物污染环境防治法》第一百零八条第一款：违反本法规定，城镇污水处理设施维护运营单位或者污泥处理单位对污泥流向、用途、用量等未进行跟踪、记录，或者处理后的污泥不符合国家有关标准的，由城镇排水主管部门责令改正，给予警告；造成严重后果的，处十万元以上二十万元以下的罚款；拒不改正的，城镇排水主管部门可以指定有治理能力的单位代为治理，所需费用由违法者承担。</w:t>
            </w:r>
          </w:p>
        </w:tc>
        <w:tc>
          <w:tcPr>
            <w:tcW w:w="952" w:type="dxa"/>
            <w:tcBorders>
              <w:top w:val="nil"/>
              <w:left w:val="nil"/>
              <w:bottom w:val="single" w:color="000000" w:sz="8" w:space="0"/>
              <w:right w:val="single" w:color="000000" w:sz="12" w:space="0"/>
            </w:tcBorders>
            <w:shd w:val="clear" w:color="auto" w:fill="auto"/>
            <w:tcMar>
              <w:top w:w="15" w:type="dxa"/>
              <w:left w:w="15" w:type="dxa"/>
              <w:bottom w:w="15" w:type="dxa"/>
              <w:right w:w="15" w:type="dxa"/>
            </w:tcMar>
            <w:vAlign w:val="center"/>
          </w:tcPr>
          <w:p>
            <w:pPr>
              <w:widowControl/>
              <w:jc w:val="center"/>
              <w:rPr>
                <w:rFonts w:hint="eastAsia" w:asciiTheme="minorEastAsia" w:hAnsiTheme="minorEastAsia" w:eastAsiaTheme="minorEastAsia" w:cstheme="minorEastAsia"/>
                <w:kern w:val="0"/>
                <w:sz w:val="21"/>
                <w:szCs w:val="21"/>
              </w:rPr>
            </w:pPr>
          </w:p>
        </w:tc>
      </w:tr>
      <w:tr>
        <w:tblPrEx>
          <w:tblCellMar>
            <w:top w:w="0" w:type="dxa"/>
            <w:left w:w="0" w:type="dxa"/>
            <w:bottom w:w="0" w:type="dxa"/>
            <w:right w:w="0" w:type="dxa"/>
          </w:tblCellMar>
        </w:tblPrEx>
        <w:trPr>
          <w:trHeight w:val="567" w:hRule="atLeast"/>
          <w:jc w:val="center"/>
        </w:trPr>
        <w:tc>
          <w:tcPr>
            <w:tcW w:w="1168" w:type="dxa"/>
            <w:tcBorders>
              <w:top w:val="nil"/>
              <w:left w:val="single" w:color="000000" w:sz="12" w:space="0"/>
              <w:bottom w:val="single" w:color="000000" w:sz="8" w:space="0"/>
              <w:right w:val="single" w:color="000000" w:sz="8" w:space="0"/>
            </w:tcBorders>
            <w:shd w:val="clear" w:color="auto" w:fill="auto"/>
            <w:tcMar>
              <w:top w:w="15" w:type="dxa"/>
              <w:left w:w="15" w:type="dxa"/>
              <w:bottom w:w="15" w:type="dxa"/>
              <w:right w:w="15" w:type="dxa"/>
            </w:tcMar>
            <w:vAlign w:val="center"/>
          </w:tcPr>
          <w:p>
            <w:pPr>
              <w:numPr>
                <w:ilvl w:val="0"/>
                <w:numId w:val="1"/>
              </w:numPr>
              <w:ind w:left="0" w:leftChars="0" w:firstLine="0" w:firstLineChars="0"/>
              <w:jc w:val="center"/>
              <w:rPr>
                <w:rFonts w:hint="eastAsia" w:ascii="宋体" w:hAnsi="宋体" w:eastAsia="宋体" w:cs="宋体"/>
              </w:rPr>
            </w:pPr>
          </w:p>
        </w:tc>
        <w:tc>
          <w:tcPr>
            <w:tcW w:w="2881" w:type="dxa"/>
            <w:gridSpan w:val="3"/>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擅自倾倒、堆放、丢弃、遗撒城镇污水处理设施产生的污泥和处理后的污泥</w:t>
            </w:r>
          </w:p>
        </w:tc>
        <w:tc>
          <w:tcPr>
            <w:tcW w:w="1104" w:type="dxa"/>
            <w:gridSpan w:val="2"/>
            <w:tcBorders>
              <w:top w:val="nil"/>
              <w:left w:val="nil"/>
              <w:bottom w:val="single" w:color="000000" w:sz="8" w:space="0"/>
              <w:right w:val="single" w:color="auto" w:sz="8"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eastAsia="zh-CN"/>
              </w:rPr>
              <w:t>区住建局</w:t>
            </w:r>
          </w:p>
        </w:tc>
        <w:tc>
          <w:tcPr>
            <w:tcW w:w="200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按要求改正，未造成严重后果的</w:t>
            </w:r>
          </w:p>
        </w:tc>
        <w:tc>
          <w:tcPr>
            <w:tcW w:w="6301"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中华人民共和国固体废物污染环境防治法》第一百零八条第二款：违反本法规定，擅自倾倒、堆放、丢弃、遗撒城镇污水处理设施产生的污泥和处理后的污泥的，由城镇排水主管部门责令改正，处二十万元以上二百万元以下的罚款，对直接负责的主管人员和其他直接责任人员处二万元以上十万元以下的罚款；造成严重后果的，处二百万元以上五百万元以下的罚款，对直接负责的主管人员和其他直接责任人员处五万元以上五十万元以下的罚款；拒不改正的，城镇排水主管部门可以指定有治理能力的单位代为治理，所需费用由违法者承担。</w:t>
            </w:r>
          </w:p>
        </w:tc>
        <w:tc>
          <w:tcPr>
            <w:tcW w:w="952" w:type="dxa"/>
            <w:tcBorders>
              <w:top w:val="nil"/>
              <w:left w:val="nil"/>
              <w:bottom w:val="single" w:color="000000" w:sz="8" w:space="0"/>
              <w:right w:val="single" w:color="000000" w:sz="12" w:space="0"/>
            </w:tcBorders>
            <w:shd w:val="clear" w:color="auto" w:fill="auto"/>
            <w:tcMar>
              <w:top w:w="15" w:type="dxa"/>
              <w:left w:w="15" w:type="dxa"/>
              <w:bottom w:w="15" w:type="dxa"/>
              <w:right w:w="15" w:type="dxa"/>
            </w:tcMar>
            <w:vAlign w:val="center"/>
          </w:tcPr>
          <w:p>
            <w:pPr>
              <w:widowControl/>
              <w:jc w:val="center"/>
              <w:rPr>
                <w:rFonts w:hint="eastAsia" w:asciiTheme="minorEastAsia" w:hAnsiTheme="minorEastAsia" w:eastAsiaTheme="minorEastAsia" w:cstheme="minorEastAsia"/>
                <w:kern w:val="0"/>
                <w:sz w:val="21"/>
                <w:szCs w:val="21"/>
              </w:rPr>
            </w:pPr>
          </w:p>
        </w:tc>
      </w:tr>
      <w:tr>
        <w:tblPrEx>
          <w:tblCellMar>
            <w:top w:w="0" w:type="dxa"/>
            <w:left w:w="0" w:type="dxa"/>
            <w:bottom w:w="0" w:type="dxa"/>
            <w:right w:w="0" w:type="dxa"/>
          </w:tblCellMar>
        </w:tblPrEx>
        <w:trPr>
          <w:trHeight w:val="567" w:hRule="atLeast"/>
          <w:jc w:val="center"/>
        </w:trPr>
        <w:tc>
          <w:tcPr>
            <w:tcW w:w="1168" w:type="dxa"/>
            <w:tcBorders>
              <w:top w:val="nil"/>
              <w:left w:val="single" w:color="000000" w:sz="12" w:space="0"/>
              <w:bottom w:val="single" w:color="000000" w:sz="8" w:space="0"/>
              <w:right w:val="single" w:color="000000" w:sz="8" w:space="0"/>
            </w:tcBorders>
            <w:shd w:val="clear" w:color="auto" w:fill="auto"/>
            <w:tcMar>
              <w:top w:w="15" w:type="dxa"/>
              <w:left w:w="15" w:type="dxa"/>
              <w:bottom w:w="15" w:type="dxa"/>
              <w:right w:w="15" w:type="dxa"/>
            </w:tcMar>
            <w:vAlign w:val="center"/>
          </w:tcPr>
          <w:p>
            <w:pPr>
              <w:numPr>
                <w:ilvl w:val="0"/>
                <w:numId w:val="1"/>
              </w:numPr>
              <w:ind w:left="0" w:leftChars="0" w:firstLine="0" w:firstLineChars="0"/>
              <w:jc w:val="center"/>
              <w:rPr>
                <w:rFonts w:hint="eastAsia" w:ascii="宋体" w:hAnsi="宋体" w:eastAsia="宋体" w:cs="宋体"/>
              </w:rPr>
            </w:pPr>
          </w:p>
        </w:tc>
        <w:tc>
          <w:tcPr>
            <w:tcW w:w="2881" w:type="dxa"/>
            <w:gridSpan w:val="3"/>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未取得燃气经营许可证从事燃气经营活动</w:t>
            </w:r>
          </w:p>
        </w:tc>
        <w:tc>
          <w:tcPr>
            <w:tcW w:w="1104" w:type="dxa"/>
            <w:gridSpan w:val="2"/>
            <w:tcBorders>
              <w:top w:val="nil"/>
              <w:left w:val="nil"/>
              <w:bottom w:val="single" w:color="000000" w:sz="8" w:space="0"/>
              <w:right w:val="single" w:color="auto" w:sz="8"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eastAsia="zh-CN"/>
              </w:rPr>
              <w:t>区住建局</w:t>
            </w:r>
          </w:p>
        </w:tc>
        <w:tc>
          <w:tcPr>
            <w:tcW w:w="200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情节较轻：没有造成危害后果；主动消除、减轻危害后果的</w:t>
            </w:r>
          </w:p>
        </w:tc>
        <w:tc>
          <w:tcPr>
            <w:tcW w:w="6301"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城镇燃气管理条例》第四十五条第一款：违反本条例规定，未取得燃气经营许可证从事燃气经营活动的，由燃气管理部门责令停止违法行为，处5万元以上50万元以下罚款；有违法所得的，没收违法所得；构成犯罪的，依法追究刑事责任。</w:t>
            </w:r>
          </w:p>
        </w:tc>
        <w:tc>
          <w:tcPr>
            <w:tcW w:w="952" w:type="dxa"/>
            <w:tcBorders>
              <w:top w:val="nil"/>
              <w:left w:val="nil"/>
              <w:bottom w:val="single" w:color="000000" w:sz="8" w:space="0"/>
              <w:right w:val="single" w:color="000000" w:sz="12" w:space="0"/>
            </w:tcBorders>
            <w:shd w:val="clear" w:color="auto" w:fill="auto"/>
            <w:tcMar>
              <w:top w:w="15" w:type="dxa"/>
              <w:left w:w="15" w:type="dxa"/>
              <w:bottom w:w="15" w:type="dxa"/>
              <w:right w:w="15" w:type="dxa"/>
            </w:tcMar>
            <w:vAlign w:val="center"/>
          </w:tcPr>
          <w:p>
            <w:pPr>
              <w:widowControl/>
              <w:jc w:val="center"/>
              <w:rPr>
                <w:rFonts w:hint="eastAsia" w:asciiTheme="minorEastAsia" w:hAnsiTheme="minorEastAsia" w:eastAsiaTheme="minorEastAsia" w:cstheme="minorEastAsia"/>
                <w:kern w:val="0"/>
                <w:sz w:val="21"/>
                <w:szCs w:val="21"/>
              </w:rPr>
            </w:pPr>
          </w:p>
        </w:tc>
      </w:tr>
      <w:tr>
        <w:tblPrEx>
          <w:tblCellMar>
            <w:top w:w="0" w:type="dxa"/>
            <w:left w:w="0" w:type="dxa"/>
            <w:bottom w:w="0" w:type="dxa"/>
            <w:right w:w="0" w:type="dxa"/>
          </w:tblCellMar>
        </w:tblPrEx>
        <w:trPr>
          <w:trHeight w:val="567" w:hRule="atLeast"/>
          <w:jc w:val="center"/>
        </w:trPr>
        <w:tc>
          <w:tcPr>
            <w:tcW w:w="1168" w:type="dxa"/>
            <w:tcBorders>
              <w:top w:val="nil"/>
              <w:left w:val="single" w:color="000000" w:sz="12" w:space="0"/>
              <w:bottom w:val="single" w:color="000000" w:sz="8" w:space="0"/>
              <w:right w:val="single" w:color="000000" w:sz="8" w:space="0"/>
            </w:tcBorders>
            <w:shd w:val="clear" w:color="auto" w:fill="auto"/>
            <w:tcMar>
              <w:top w:w="15" w:type="dxa"/>
              <w:left w:w="15" w:type="dxa"/>
              <w:bottom w:w="15" w:type="dxa"/>
              <w:right w:w="15" w:type="dxa"/>
            </w:tcMar>
            <w:vAlign w:val="center"/>
          </w:tcPr>
          <w:p>
            <w:pPr>
              <w:numPr>
                <w:ilvl w:val="0"/>
                <w:numId w:val="1"/>
              </w:numPr>
              <w:ind w:left="0" w:leftChars="0" w:firstLine="0" w:firstLineChars="0"/>
              <w:jc w:val="center"/>
              <w:rPr>
                <w:rFonts w:hint="eastAsia" w:ascii="宋体" w:hAnsi="宋体" w:eastAsia="宋体" w:cs="宋体"/>
              </w:rPr>
            </w:pPr>
          </w:p>
        </w:tc>
        <w:tc>
          <w:tcPr>
            <w:tcW w:w="2881" w:type="dxa"/>
            <w:gridSpan w:val="3"/>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燃气经营者未按照燃气经营许可证的规定从事燃气经营活动</w:t>
            </w:r>
          </w:p>
        </w:tc>
        <w:tc>
          <w:tcPr>
            <w:tcW w:w="1104" w:type="dxa"/>
            <w:gridSpan w:val="2"/>
            <w:tcBorders>
              <w:top w:val="nil"/>
              <w:left w:val="nil"/>
              <w:bottom w:val="single" w:color="000000" w:sz="8" w:space="0"/>
              <w:right w:val="single" w:color="auto" w:sz="8"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eastAsia="zh-CN"/>
              </w:rPr>
              <w:t>区住建局</w:t>
            </w:r>
          </w:p>
        </w:tc>
        <w:tc>
          <w:tcPr>
            <w:tcW w:w="200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情节较轻：没有造成危害后果；主动消除、减轻危害后果的</w:t>
            </w:r>
          </w:p>
        </w:tc>
        <w:tc>
          <w:tcPr>
            <w:tcW w:w="6301"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城镇燃气管理条例》第四十五条第二款：违反本条例规定，燃气经营者不按照燃气经营许可证的规定从事燃气经营活动的，由燃气管理部门责令限期改正，处3万元以上20万元以下罚款；有违法所得的，没收违法所得；情节严重的，吊销燃气经营许可证；构成犯罪的，依法追究刑事责任。</w:t>
            </w:r>
          </w:p>
        </w:tc>
        <w:tc>
          <w:tcPr>
            <w:tcW w:w="952" w:type="dxa"/>
            <w:tcBorders>
              <w:top w:val="nil"/>
              <w:left w:val="nil"/>
              <w:bottom w:val="single" w:color="000000" w:sz="8" w:space="0"/>
              <w:right w:val="single" w:color="000000" w:sz="12" w:space="0"/>
            </w:tcBorders>
            <w:shd w:val="clear" w:color="auto" w:fill="auto"/>
            <w:tcMar>
              <w:top w:w="15" w:type="dxa"/>
              <w:left w:w="15" w:type="dxa"/>
              <w:bottom w:w="15" w:type="dxa"/>
              <w:right w:w="15" w:type="dxa"/>
            </w:tcMar>
            <w:vAlign w:val="center"/>
          </w:tcPr>
          <w:p>
            <w:pPr>
              <w:widowControl/>
              <w:jc w:val="center"/>
              <w:rPr>
                <w:rFonts w:hint="eastAsia" w:asciiTheme="minorEastAsia" w:hAnsiTheme="minorEastAsia" w:eastAsiaTheme="minorEastAsia" w:cstheme="minorEastAsia"/>
                <w:kern w:val="0"/>
                <w:sz w:val="21"/>
                <w:szCs w:val="21"/>
              </w:rPr>
            </w:pPr>
          </w:p>
        </w:tc>
      </w:tr>
      <w:tr>
        <w:tblPrEx>
          <w:tblCellMar>
            <w:top w:w="0" w:type="dxa"/>
            <w:left w:w="0" w:type="dxa"/>
            <w:bottom w:w="0" w:type="dxa"/>
            <w:right w:w="0" w:type="dxa"/>
          </w:tblCellMar>
        </w:tblPrEx>
        <w:trPr>
          <w:trHeight w:val="567" w:hRule="atLeast"/>
          <w:jc w:val="center"/>
        </w:trPr>
        <w:tc>
          <w:tcPr>
            <w:tcW w:w="1168" w:type="dxa"/>
            <w:tcBorders>
              <w:top w:val="nil"/>
              <w:left w:val="single" w:color="000000" w:sz="12" w:space="0"/>
              <w:bottom w:val="single" w:color="000000" w:sz="8" w:space="0"/>
              <w:right w:val="single" w:color="000000" w:sz="8" w:space="0"/>
            </w:tcBorders>
            <w:shd w:val="clear" w:color="auto" w:fill="auto"/>
            <w:tcMar>
              <w:top w:w="15" w:type="dxa"/>
              <w:left w:w="15" w:type="dxa"/>
              <w:bottom w:w="15" w:type="dxa"/>
              <w:right w:w="15" w:type="dxa"/>
            </w:tcMar>
            <w:vAlign w:val="center"/>
          </w:tcPr>
          <w:p>
            <w:pPr>
              <w:numPr>
                <w:ilvl w:val="0"/>
                <w:numId w:val="1"/>
              </w:numPr>
              <w:ind w:left="0" w:leftChars="0" w:firstLine="0" w:firstLineChars="0"/>
              <w:jc w:val="center"/>
              <w:rPr>
                <w:rFonts w:hint="eastAsia" w:ascii="宋体" w:hAnsi="宋体" w:eastAsia="宋体" w:cs="宋体"/>
              </w:rPr>
            </w:pPr>
          </w:p>
        </w:tc>
        <w:tc>
          <w:tcPr>
            <w:tcW w:w="2881" w:type="dxa"/>
            <w:gridSpan w:val="3"/>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燃气经营者存在《城镇燃气管理条例》第四十六条规定的违法违规行为</w:t>
            </w:r>
          </w:p>
        </w:tc>
        <w:tc>
          <w:tcPr>
            <w:tcW w:w="1104" w:type="dxa"/>
            <w:gridSpan w:val="2"/>
            <w:tcBorders>
              <w:top w:val="nil"/>
              <w:left w:val="nil"/>
              <w:bottom w:val="single" w:color="000000" w:sz="8" w:space="0"/>
              <w:right w:val="single" w:color="auto" w:sz="8"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eastAsia="zh-CN"/>
              </w:rPr>
              <w:t>区住建局</w:t>
            </w:r>
          </w:p>
        </w:tc>
        <w:tc>
          <w:tcPr>
            <w:tcW w:w="200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情节较轻：没有造成危害后果；主动消除、减轻危害后果的</w:t>
            </w:r>
          </w:p>
        </w:tc>
        <w:tc>
          <w:tcPr>
            <w:tcW w:w="6301"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城镇燃气管理条例》第四十六条：违反本条例规定，燃气经营者有下列行为之一的，由燃气管理部门责令限期改正，处1万元以上10万元以下罚款；有违法所得的，没收违法所得；情节严重的，吊销燃气经营许可证；造成损失的，依法承担赔偿责任；构成犯罪的，依法追究刑事责任：</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（一）拒绝向市政燃气管网覆盖范围内符合用气条件的单位或者个人供气；</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（二）倒卖、抵押、出租、出借、转让、涂改燃气经营许可证的；</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 xml:space="preserve">（三）未履行必要告知义务擅自停止供气、调整供气量，或者未经审批擅自停业或者歇业的； </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（四）向未取得燃气经营许可证的单位或者个人提供用于经营的燃气的；</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（五）在不具备安全条件的场所储存燃气的；</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（六）要求燃气用户购买其指定的产品或者接受其提供的服务；</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（七）燃气经营者未向燃气用户持续、稳定、安全供应符合国家质量标准的燃气，或者未对燃气用户的燃气设施定期进行安全检查。</w:t>
            </w:r>
          </w:p>
        </w:tc>
        <w:tc>
          <w:tcPr>
            <w:tcW w:w="952" w:type="dxa"/>
            <w:tcBorders>
              <w:top w:val="nil"/>
              <w:left w:val="nil"/>
              <w:bottom w:val="single" w:color="000000" w:sz="8" w:space="0"/>
              <w:right w:val="single" w:color="000000" w:sz="12" w:space="0"/>
            </w:tcBorders>
            <w:shd w:val="clear" w:color="auto" w:fill="auto"/>
            <w:tcMar>
              <w:top w:w="15" w:type="dxa"/>
              <w:left w:w="15" w:type="dxa"/>
              <w:bottom w:w="15" w:type="dxa"/>
              <w:right w:w="15" w:type="dxa"/>
            </w:tcMar>
            <w:vAlign w:val="center"/>
          </w:tcPr>
          <w:p>
            <w:pPr>
              <w:widowControl/>
              <w:jc w:val="center"/>
              <w:rPr>
                <w:rFonts w:hint="eastAsia" w:asciiTheme="minorEastAsia" w:hAnsiTheme="minorEastAsia" w:eastAsiaTheme="minorEastAsia" w:cstheme="minorEastAsia"/>
                <w:kern w:val="0"/>
                <w:sz w:val="21"/>
                <w:szCs w:val="21"/>
              </w:rPr>
            </w:pPr>
          </w:p>
        </w:tc>
      </w:tr>
      <w:tr>
        <w:tblPrEx>
          <w:tblCellMar>
            <w:top w:w="0" w:type="dxa"/>
            <w:left w:w="0" w:type="dxa"/>
            <w:bottom w:w="0" w:type="dxa"/>
            <w:right w:w="0" w:type="dxa"/>
          </w:tblCellMar>
        </w:tblPrEx>
        <w:trPr>
          <w:trHeight w:val="567" w:hRule="atLeast"/>
          <w:jc w:val="center"/>
        </w:trPr>
        <w:tc>
          <w:tcPr>
            <w:tcW w:w="1168" w:type="dxa"/>
            <w:tcBorders>
              <w:top w:val="nil"/>
              <w:left w:val="single" w:color="000000" w:sz="12" w:space="0"/>
              <w:bottom w:val="single" w:color="000000" w:sz="8" w:space="0"/>
              <w:right w:val="single" w:color="000000" w:sz="8" w:space="0"/>
            </w:tcBorders>
            <w:shd w:val="clear" w:color="auto" w:fill="auto"/>
            <w:tcMar>
              <w:top w:w="15" w:type="dxa"/>
              <w:left w:w="15" w:type="dxa"/>
              <w:bottom w:w="15" w:type="dxa"/>
              <w:right w:w="15" w:type="dxa"/>
            </w:tcMar>
            <w:vAlign w:val="center"/>
          </w:tcPr>
          <w:p>
            <w:pPr>
              <w:numPr>
                <w:ilvl w:val="0"/>
                <w:numId w:val="1"/>
              </w:numPr>
              <w:ind w:left="0" w:leftChars="0" w:firstLine="0" w:firstLineChars="0"/>
              <w:jc w:val="center"/>
              <w:rPr>
                <w:rFonts w:hint="eastAsia" w:ascii="宋体" w:hAnsi="宋体" w:eastAsia="宋体" w:cs="宋体"/>
              </w:rPr>
            </w:pPr>
          </w:p>
        </w:tc>
        <w:tc>
          <w:tcPr>
            <w:tcW w:w="2881" w:type="dxa"/>
            <w:gridSpan w:val="3"/>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销售充装单位擅自为非自有气瓶充装的瓶装燃气</w:t>
            </w:r>
          </w:p>
        </w:tc>
        <w:tc>
          <w:tcPr>
            <w:tcW w:w="1104" w:type="dxa"/>
            <w:gridSpan w:val="2"/>
            <w:tcBorders>
              <w:top w:val="nil"/>
              <w:left w:val="nil"/>
              <w:bottom w:val="single" w:color="000000" w:sz="8" w:space="0"/>
              <w:right w:val="single" w:color="auto" w:sz="8"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eastAsia="zh-CN"/>
              </w:rPr>
              <w:t>区住建局</w:t>
            </w:r>
          </w:p>
        </w:tc>
        <w:tc>
          <w:tcPr>
            <w:tcW w:w="200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情节较轻：没有造成危害后果；主动消除、减轻危害后果的</w:t>
            </w:r>
          </w:p>
        </w:tc>
        <w:tc>
          <w:tcPr>
            <w:tcW w:w="6301"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《城镇燃气管理条例》第四十七条第二款：违反本条例规定，销售充装单位擅自为非自有气瓶充装的瓶装燃气的，由燃气管理部门责令改正，可以处1万元以下罚款。</w:t>
            </w:r>
          </w:p>
        </w:tc>
        <w:tc>
          <w:tcPr>
            <w:tcW w:w="952" w:type="dxa"/>
            <w:tcBorders>
              <w:top w:val="nil"/>
              <w:left w:val="nil"/>
              <w:bottom w:val="single" w:color="000000" w:sz="8" w:space="0"/>
              <w:right w:val="single" w:color="000000" w:sz="12" w:space="0"/>
            </w:tcBorders>
            <w:shd w:val="clear" w:color="auto" w:fill="auto"/>
            <w:tcMar>
              <w:top w:w="15" w:type="dxa"/>
              <w:left w:w="15" w:type="dxa"/>
              <w:bottom w:w="15" w:type="dxa"/>
              <w:right w:w="15" w:type="dxa"/>
            </w:tcMar>
            <w:vAlign w:val="center"/>
          </w:tcPr>
          <w:p>
            <w:pPr>
              <w:widowControl/>
              <w:jc w:val="center"/>
              <w:rPr>
                <w:rFonts w:hint="eastAsia" w:asciiTheme="minorEastAsia" w:hAnsiTheme="minorEastAsia" w:eastAsiaTheme="minorEastAsia" w:cstheme="minorEastAsia"/>
                <w:kern w:val="0"/>
                <w:sz w:val="21"/>
                <w:szCs w:val="21"/>
              </w:rPr>
            </w:pPr>
          </w:p>
        </w:tc>
      </w:tr>
      <w:tr>
        <w:tblPrEx>
          <w:tblCellMar>
            <w:top w:w="0" w:type="dxa"/>
            <w:left w:w="0" w:type="dxa"/>
            <w:bottom w:w="0" w:type="dxa"/>
            <w:right w:w="0" w:type="dxa"/>
          </w:tblCellMar>
        </w:tblPrEx>
        <w:trPr>
          <w:trHeight w:val="567" w:hRule="atLeast"/>
          <w:jc w:val="center"/>
        </w:trPr>
        <w:tc>
          <w:tcPr>
            <w:tcW w:w="1168" w:type="dxa"/>
            <w:tcBorders>
              <w:top w:val="nil"/>
              <w:left w:val="single" w:color="000000" w:sz="12" w:space="0"/>
              <w:bottom w:val="single" w:color="000000" w:sz="8" w:space="0"/>
              <w:right w:val="single" w:color="000000" w:sz="8" w:space="0"/>
            </w:tcBorders>
            <w:shd w:val="clear" w:color="auto" w:fill="auto"/>
            <w:tcMar>
              <w:top w:w="15" w:type="dxa"/>
              <w:left w:w="15" w:type="dxa"/>
              <w:bottom w:w="15" w:type="dxa"/>
              <w:right w:w="15" w:type="dxa"/>
            </w:tcMar>
            <w:vAlign w:val="center"/>
          </w:tcPr>
          <w:p>
            <w:pPr>
              <w:numPr>
                <w:ilvl w:val="0"/>
                <w:numId w:val="1"/>
              </w:numPr>
              <w:ind w:left="0" w:leftChars="0" w:firstLine="0" w:firstLineChars="0"/>
              <w:jc w:val="center"/>
              <w:rPr>
                <w:rFonts w:hint="eastAsia" w:ascii="宋体" w:hAnsi="宋体" w:eastAsia="宋体" w:cs="宋体"/>
              </w:rPr>
            </w:pPr>
          </w:p>
        </w:tc>
        <w:tc>
          <w:tcPr>
            <w:tcW w:w="2881" w:type="dxa"/>
            <w:gridSpan w:val="3"/>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燃气经营者安全生产管理不作为行为</w:t>
            </w:r>
          </w:p>
        </w:tc>
        <w:tc>
          <w:tcPr>
            <w:tcW w:w="1104" w:type="dxa"/>
            <w:gridSpan w:val="2"/>
            <w:tcBorders>
              <w:top w:val="nil"/>
              <w:left w:val="nil"/>
              <w:bottom w:val="single" w:color="000000" w:sz="8" w:space="0"/>
              <w:right w:val="single" w:color="auto" w:sz="8"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eastAsia="zh-CN"/>
              </w:rPr>
              <w:t>区住建局</w:t>
            </w:r>
          </w:p>
        </w:tc>
        <w:tc>
          <w:tcPr>
            <w:tcW w:w="200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情节较轻：没有造成危害后果；主动消除、减轻危害后果的</w:t>
            </w:r>
          </w:p>
        </w:tc>
        <w:tc>
          <w:tcPr>
            <w:tcW w:w="6301"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城镇燃气管理条例》第四十八条：违反本条例规定，燃气经营者未按照国家有关工程建设标准和安全生产管理的规定，设置燃气设施防腐、绝缘、防雷、降压、隔离等保护装置和安全警示标志的，或者未定期进行巡查、检测、维修和维护的，或者未采取措施及时消除燃气安全事故隐患的，由燃气管理部门责令限期改正，处1万元以上10万元以下罚款。</w:t>
            </w:r>
          </w:p>
        </w:tc>
        <w:tc>
          <w:tcPr>
            <w:tcW w:w="952" w:type="dxa"/>
            <w:tcBorders>
              <w:top w:val="nil"/>
              <w:left w:val="nil"/>
              <w:bottom w:val="single" w:color="000000" w:sz="8" w:space="0"/>
              <w:right w:val="single" w:color="000000" w:sz="12" w:space="0"/>
            </w:tcBorders>
            <w:shd w:val="clear" w:color="auto" w:fill="auto"/>
            <w:tcMar>
              <w:top w:w="15" w:type="dxa"/>
              <w:left w:w="15" w:type="dxa"/>
              <w:bottom w:w="15" w:type="dxa"/>
              <w:right w:w="15" w:type="dxa"/>
            </w:tcMar>
            <w:vAlign w:val="center"/>
          </w:tcPr>
          <w:p>
            <w:pPr>
              <w:widowControl/>
              <w:jc w:val="center"/>
              <w:rPr>
                <w:rFonts w:hint="eastAsia" w:asciiTheme="minorEastAsia" w:hAnsiTheme="minorEastAsia" w:eastAsiaTheme="minorEastAsia" w:cstheme="minorEastAsia"/>
                <w:kern w:val="0"/>
                <w:sz w:val="21"/>
                <w:szCs w:val="21"/>
              </w:rPr>
            </w:pPr>
          </w:p>
        </w:tc>
      </w:tr>
      <w:tr>
        <w:tblPrEx>
          <w:tblCellMar>
            <w:top w:w="0" w:type="dxa"/>
            <w:left w:w="0" w:type="dxa"/>
            <w:bottom w:w="0" w:type="dxa"/>
            <w:right w:w="0" w:type="dxa"/>
          </w:tblCellMar>
        </w:tblPrEx>
        <w:trPr>
          <w:trHeight w:val="567" w:hRule="atLeast"/>
          <w:jc w:val="center"/>
        </w:trPr>
        <w:tc>
          <w:tcPr>
            <w:tcW w:w="1168" w:type="dxa"/>
            <w:tcBorders>
              <w:top w:val="nil"/>
              <w:left w:val="single" w:color="000000" w:sz="12" w:space="0"/>
              <w:bottom w:val="single" w:color="000000" w:sz="8" w:space="0"/>
              <w:right w:val="single" w:color="000000" w:sz="8" w:space="0"/>
            </w:tcBorders>
            <w:shd w:val="clear" w:color="auto" w:fill="auto"/>
            <w:tcMar>
              <w:top w:w="15" w:type="dxa"/>
              <w:left w:w="15" w:type="dxa"/>
              <w:bottom w:w="15" w:type="dxa"/>
              <w:right w:w="15" w:type="dxa"/>
            </w:tcMar>
            <w:vAlign w:val="center"/>
          </w:tcPr>
          <w:p>
            <w:pPr>
              <w:numPr>
                <w:ilvl w:val="0"/>
                <w:numId w:val="1"/>
              </w:numPr>
              <w:ind w:left="0" w:leftChars="0" w:firstLine="0" w:firstLineChars="0"/>
              <w:jc w:val="center"/>
              <w:rPr>
                <w:rFonts w:hint="eastAsia" w:ascii="宋体" w:hAnsi="宋体" w:eastAsia="宋体" w:cs="宋体"/>
              </w:rPr>
            </w:pPr>
          </w:p>
        </w:tc>
        <w:tc>
          <w:tcPr>
            <w:tcW w:w="2881" w:type="dxa"/>
            <w:gridSpan w:val="3"/>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燃气用户及相关单位和个人存在《城镇燃气管理条例》第四十九条规定的违法违规行为</w:t>
            </w:r>
          </w:p>
        </w:tc>
        <w:tc>
          <w:tcPr>
            <w:tcW w:w="1104" w:type="dxa"/>
            <w:gridSpan w:val="2"/>
            <w:tcBorders>
              <w:top w:val="nil"/>
              <w:left w:val="nil"/>
              <w:bottom w:val="single" w:color="000000" w:sz="8" w:space="0"/>
              <w:right w:val="single" w:color="auto" w:sz="8"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eastAsia="zh-CN"/>
              </w:rPr>
              <w:t>区住建局</w:t>
            </w:r>
          </w:p>
        </w:tc>
        <w:tc>
          <w:tcPr>
            <w:tcW w:w="200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sz w:val="21"/>
                <w:szCs w:val="21"/>
              </w:rPr>
              <w:t>情节较轻：没有造成危害后果；主动消除、减轻危害后果的</w:t>
            </w:r>
          </w:p>
        </w:tc>
        <w:tc>
          <w:tcPr>
            <w:tcW w:w="6301"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城镇燃气管理条例》第四十九条：违反本条例规定，燃气用户及相关单位和个人有下列行为之一的，由燃气管理部门责令限期改正；逾期不改正的，对单位可以处10万元以下罚款，对个人可以处1000元以下罚款；造成损失的，依法承担赔偿责任；构成犯罪的，依法追究刑事责任：</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（一）擅自操作公用燃气阀门的；</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（二）将燃气管道作为负重支架或者接地引线的；</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（三）安装、使用不符合气源要求的燃气燃烧器具的；</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（四）擅自安装、改装、拆除户内燃气设施和燃气计量装置的；</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（五）在不具备安全条件的场所使用、储存燃气的；</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（六）改变燃气用途或者转供燃气的；</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（七）未设立售后服务站点或者未配备经考核合格的燃气燃烧器具安装、维修人员的；</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（八）燃气燃烧器具的安装、维修不符合国家有关标准的。盗用燃气的，依照有关治安管理处罚的法律规定进行处罚。</w:t>
            </w:r>
          </w:p>
        </w:tc>
        <w:tc>
          <w:tcPr>
            <w:tcW w:w="952" w:type="dxa"/>
            <w:tcBorders>
              <w:top w:val="nil"/>
              <w:left w:val="nil"/>
              <w:bottom w:val="single" w:color="000000" w:sz="8" w:space="0"/>
              <w:right w:val="single" w:color="000000" w:sz="12" w:space="0"/>
            </w:tcBorders>
            <w:shd w:val="clear" w:color="auto" w:fill="auto"/>
            <w:tcMar>
              <w:top w:w="15" w:type="dxa"/>
              <w:left w:w="15" w:type="dxa"/>
              <w:bottom w:w="15" w:type="dxa"/>
              <w:right w:w="15" w:type="dxa"/>
            </w:tcMar>
            <w:vAlign w:val="center"/>
          </w:tcPr>
          <w:p>
            <w:pPr>
              <w:widowControl/>
              <w:jc w:val="center"/>
              <w:rPr>
                <w:rFonts w:hint="eastAsia" w:asciiTheme="minorEastAsia" w:hAnsiTheme="minorEastAsia" w:eastAsiaTheme="minorEastAsia" w:cstheme="minorEastAsia"/>
                <w:kern w:val="0"/>
                <w:sz w:val="21"/>
                <w:szCs w:val="21"/>
              </w:rPr>
            </w:pPr>
          </w:p>
        </w:tc>
      </w:tr>
      <w:tr>
        <w:tblPrEx>
          <w:tblCellMar>
            <w:top w:w="0" w:type="dxa"/>
            <w:left w:w="0" w:type="dxa"/>
            <w:bottom w:w="0" w:type="dxa"/>
            <w:right w:w="0" w:type="dxa"/>
          </w:tblCellMar>
        </w:tblPrEx>
        <w:trPr>
          <w:trHeight w:val="567" w:hRule="atLeast"/>
          <w:jc w:val="center"/>
        </w:trPr>
        <w:tc>
          <w:tcPr>
            <w:tcW w:w="1168" w:type="dxa"/>
            <w:tcBorders>
              <w:top w:val="nil"/>
              <w:left w:val="single" w:color="000000" w:sz="12" w:space="0"/>
              <w:bottom w:val="single" w:color="000000" w:sz="8" w:space="0"/>
              <w:right w:val="single" w:color="000000" w:sz="8" w:space="0"/>
            </w:tcBorders>
            <w:shd w:val="clear" w:color="auto" w:fill="auto"/>
            <w:tcMar>
              <w:top w:w="15" w:type="dxa"/>
              <w:left w:w="15" w:type="dxa"/>
              <w:bottom w:w="15" w:type="dxa"/>
              <w:right w:w="15" w:type="dxa"/>
            </w:tcMar>
            <w:vAlign w:val="center"/>
          </w:tcPr>
          <w:p>
            <w:pPr>
              <w:numPr>
                <w:ilvl w:val="0"/>
                <w:numId w:val="1"/>
              </w:numPr>
              <w:ind w:left="0" w:leftChars="0" w:firstLine="0" w:firstLineChars="0"/>
              <w:jc w:val="center"/>
              <w:rPr>
                <w:rFonts w:hint="eastAsia" w:ascii="宋体" w:hAnsi="宋体" w:eastAsia="宋体" w:cs="宋体"/>
              </w:rPr>
            </w:pPr>
          </w:p>
        </w:tc>
        <w:tc>
          <w:tcPr>
            <w:tcW w:w="2881" w:type="dxa"/>
            <w:gridSpan w:val="3"/>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在燃气设施保护范围内从事影响燃气设施安全活动行为</w:t>
            </w:r>
          </w:p>
        </w:tc>
        <w:tc>
          <w:tcPr>
            <w:tcW w:w="1104" w:type="dxa"/>
            <w:gridSpan w:val="2"/>
            <w:tcBorders>
              <w:top w:val="nil"/>
              <w:left w:val="nil"/>
              <w:bottom w:val="single" w:color="000000" w:sz="8" w:space="0"/>
              <w:right w:val="single" w:color="auto" w:sz="8"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eastAsia="zh-CN"/>
              </w:rPr>
              <w:t>区住建局</w:t>
            </w:r>
          </w:p>
        </w:tc>
        <w:tc>
          <w:tcPr>
            <w:tcW w:w="200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情节较轻：没有造成危害后果；主动消除、减轻危害后果的</w:t>
            </w:r>
          </w:p>
        </w:tc>
        <w:tc>
          <w:tcPr>
            <w:tcW w:w="6301"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《城镇燃气管理条例》第五十条 违反本条例规定，在燃气设施保护范围内从事下列活动之一的，由燃气管理部门责令停止违法行为，限期恢复原状或者采取其他补救措施，对单位处5万元以上10万元以下罚款，对个人处5000元以上5万元以下罚款；造成损失的，依法承担赔偿责任；构成犯罪的，依法追究刑事责任：（一）进行爆破、取土等作业或者动用明火的；（二）倾倒、排放腐蚀性物质的；（三）放置易燃易爆物品或者种植深根植物的；（四）未与燃气经营者共同制定燃气设施保护方案，采取相应的安全保护措施，从事敷设管道、打桩、顶进、挖掘、钻探等可能影响燃气设施安全活动的。第五条第二款 县级以上地方人民政府燃气管理部门负责本行政区域内的燃气管理工作。</w:t>
            </w:r>
          </w:p>
        </w:tc>
        <w:tc>
          <w:tcPr>
            <w:tcW w:w="952" w:type="dxa"/>
            <w:tcBorders>
              <w:top w:val="nil"/>
              <w:left w:val="nil"/>
              <w:bottom w:val="single" w:color="000000" w:sz="8" w:space="0"/>
              <w:right w:val="single" w:color="000000" w:sz="12" w:space="0"/>
            </w:tcBorders>
            <w:shd w:val="clear" w:color="auto" w:fill="auto"/>
            <w:tcMar>
              <w:top w:w="15" w:type="dxa"/>
              <w:left w:w="15" w:type="dxa"/>
              <w:bottom w:w="15" w:type="dxa"/>
              <w:right w:w="15" w:type="dxa"/>
            </w:tcMar>
            <w:vAlign w:val="center"/>
          </w:tcPr>
          <w:p>
            <w:pPr>
              <w:widowControl/>
              <w:jc w:val="center"/>
              <w:rPr>
                <w:rFonts w:hint="eastAsia" w:asciiTheme="minorEastAsia" w:hAnsiTheme="minorEastAsia" w:eastAsiaTheme="minorEastAsia" w:cstheme="minorEastAsia"/>
                <w:kern w:val="0"/>
                <w:sz w:val="21"/>
                <w:szCs w:val="21"/>
              </w:rPr>
            </w:pPr>
          </w:p>
        </w:tc>
      </w:tr>
      <w:tr>
        <w:tblPrEx>
          <w:tblCellMar>
            <w:top w:w="0" w:type="dxa"/>
            <w:left w:w="0" w:type="dxa"/>
            <w:bottom w:w="0" w:type="dxa"/>
            <w:right w:w="0" w:type="dxa"/>
          </w:tblCellMar>
        </w:tblPrEx>
        <w:trPr>
          <w:trHeight w:val="567" w:hRule="atLeast"/>
          <w:jc w:val="center"/>
        </w:trPr>
        <w:tc>
          <w:tcPr>
            <w:tcW w:w="1168" w:type="dxa"/>
            <w:tcBorders>
              <w:top w:val="nil"/>
              <w:left w:val="single" w:color="000000" w:sz="12" w:space="0"/>
              <w:bottom w:val="single" w:color="000000" w:sz="8" w:space="0"/>
              <w:right w:val="single" w:color="000000" w:sz="8" w:space="0"/>
            </w:tcBorders>
            <w:shd w:val="clear" w:color="auto" w:fill="auto"/>
            <w:tcMar>
              <w:top w:w="15" w:type="dxa"/>
              <w:left w:w="15" w:type="dxa"/>
              <w:bottom w:w="15" w:type="dxa"/>
              <w:right w:w="15" w:type="dxa"/>
            </w:tcMar>
            <w:vAlign w:val="center"/>
          </w:tcPr>
          <w:p>
            <w:pPr>
              <w:numPr>
                <w:ilvl w:val="0"/>
                <w:numId w:val="1"/>
              </w:numPr>
              <w:ind w:left="0" w:leftChars="0" w:firstLine="0" w:firstLineChars="0"/>
              <w:jc w:val="center"/>
              <w:rPr>
                <w:rFonts w:hint="eastAsia" w:ascii="宋体" w:hAnsi="宋体" w:eastAsia="宋体" w:cs="宋体"/>
              </w:rPr>
            </w:pPr>
          </w:p>
        </w:tc>
        <w:tc>
          <w:tcPr>
            <w:tcW w:w="2881" w:type="dxa"/>
            <w:gridSpan w:val="3"/>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侵占、毁损、擅自拆除、移动燃气设施或者擅自改动市政燃气设施</w:t>
            </w:r>
          </w:p>
        </w:tc>
        <w:tc>
          <w:tcPr>
            <w:tcW w:w="1104" w:type="dxa"/>
            <w:gridSpan w:val="2"/>
            <w:tcBorders>
              <w:top w:val="nil"/>
              <w:left w:val="nil"/>
              <w:bottom w:val="single" w:color="000000" w:sz="8" w:space="0"/>
              <w:right w:val="single" w:color="auto" w:sz="8"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eastAsia="zh-CN"/>
              </w:rPr>
              <w:t>区住建局</w:t>
            </w:r>
          </w:p>
        </w:tc>
        <w:tc>
          <w:tcPr>
            <w:tcW w:w="200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情节较轻：没有造成危害后果；主动消除、减轻危害后果的</w:t>
            </w:r>
          </w:p>
        </w:tc>
        <w:tc>
          <w:tcPr>
            <w:tcW w:w="6301"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城镇燃气管理条例》第五十一条第一款：违反本条例规定，侵占、毁损、擅自拆除、移动燃气设施或者擅自改动市政燃气设施的，由燃气管理部门责令限期改正，恢复原状或者采取其他补救措施，对单位处5万元以上10万元以下罚款，对个人处5000元以上5万元以下罚款；造成损失的，依法承担赔偿责任；构成犯罪的，依法追究刑事责任。</w:t>
            </w:r>
          </w:p>
        </w:tc>
        <w:tc>
          <w:tcPr>
            <w:tcW w:w="952" w:type="dxa"/>
            <w:tcBorders>
              <w:top w:val="nil"/>
              <w:left w:val="nil"/>
              <w:bottom w:val="single" w:color="000000" w:sz="8" w:space="0"/>
              <w:right w:val="single" w:color="000000" w:sz="12" w:space="0"/>
            </w:tcBorders>
            <w:shd w:val="clear" w:color="auto" w:fill="auto"/>
            <w:tcMar>
              <w:top w:w="15" w:type="dxa"/>
              <w:left w:w="15" w:type="dxa"/>
              <w:bottom w:w="15" w:type="dxa"/>
              <w:right w:w="15" w:type="dxa"/>
            </w:tcMar>
            <w:vAlign w:val="center"/>
          </w:tcPr>
          <w:p>
            <w:pPr>
              <w:widowControl/>
              <w:jc w:val="center"/>
              <w:rPr>
                <w:rFonts w:hint="eastAsia" w:asciiTheme="minorEastAsia" w:hAnsiTheme="minorEastAsia" w:eastAsiaTheme="minorEastAsia" w:cstheme="minorEastAsia"/>
                <w:kern w:val="0"/>
                <w:sz w:val="21"/>
                <w:szCs w:val="21"/>
              </w:rPr>
            </w:pPr>
          </w:p>
        </w:tc>
      </w:tr>
      <w:tr>
        <w:tblPrEx>
          <w:tblCellMar>
            <w:top w:w="0" w:type="dxa"/>
            <w:left w:w="0" w:type="dxa"/>
            <w:bottom w:w="0" w:type="dxa"/>
            <w:right w:w="0" w:type="dxa"/>
          </w:tblCellMar>
        </w:tblPrEx>
        <w:trPr>
          <w:trHeight w:val="567" w:hRule="atLeast"/>
          <w:jc w:val="center"/>
        </w:trPr>
        <w:tc>
          <w:tcPr>
            <w:tcW w:w="1168" w:type="dxa"/>
            <w:tcBorders>
              <w:top w:val="nil"/>
              <w:left w:val="single" w:color="000000" w:sz="12" w:space="0"/>
              <w:bottom w:val="single" w:color="000000" w:sz="8" w:space="0"/>
              <w:right w:val="single" w:color="000000" w:sz="8" w:space="0"/>
            </w:tcBorders>
            <w:shd w:val="clear" w:color="auto" w:fill="auto"/>
            <w:tcMar>
              <w:top w:w="15" w:type="dxa"/>
              <w:left w:w="15" w:type="dxa"/>
              <w:bottom w:w="15" w:type="dxa"/>
              <w:right w:w="15" w:type="dxa"/>
            </w:tcMar>
            <w:vAlign w:val="center"/>
          </w:tcPr>
          <w:p>
            <w:pPr>
              <w:numPr>
                <w:ilvl w:val="0"/>
                <w:numId w:val="1"/>
              </w:numPr>
              <w:ind w:left="0" w:leftChars="0" w:firstLine="0" w:firstLineChars="0"/>
              <w:jc w:val="center"/>
              <w:rPr>
                <w:rFonts w:hint="eastAsia" w:ascii="宋体" w:hAnsi="宋体" w:eastAsia="宋体" w:cs="宋体"/>
              </w:rPr>
            </w:pPr>
          </w:p>
        </w:tc>
        <w:tc>
          <w:tcPr>
            <w:tcW w:w="2881" w:type="dxa"/>
            <w:gridSpan w:val="3"/>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毁损、覆盖、涂改、擅自拆除或者移动燃气设施安全警示标志</w:t>
            </w:r>
          </w:p>
        </w:tc>
        <w:tc>
          <w:tcPr>
            <w:tcW w:w="1104" w:type="dxa"/>
            <w:gridSpan w:val="2"/>
            <w:tcBorders>
              <w:top w:val="nil"/>
              <w:left w:val="nil"/>
              <w:bottom w:val="single" w:color="000000" w:sz="8" w:space="0"/>
              <w:right w:val="single" w:color="auto" w:sz="8"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eastAsia="zh-CN"/>
              </w:rPr>
              <w:t>区住建局</w:t>
            </w:r>
          </w:p>
        </w:tc>
        <w:tc>
          <w:tcPr>
            <w:tcW w:w="200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情节较轻：没有造成危害后果；主动消除、减轻危害后果的</w:t>
            </w:r>
          </w:p>
        </w:tc>
        <w:tc>
          <w:tcPr>
            <w:tcW w:w="6301"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《城镇燃气管理条例》第五十一条第二款：违反本条例规定，毁损、覆盖、涂改、擅自拆除或者移动燃气设施安全警示标志的，由燃气管理部门责令限期改正，恢复原状，可以处5000元以下罚款。</w:t>
            </w:r>
          </w:p>
        </w:tc>
        <w:tc>
          <w:tcPr>
            <w:tcW w:w="952" w:type="dxa"/>
            <w:tcBorders>
              <w:top w:val="nil"/>
              <w:left w:val="nil"/>
              <w:bottom w:val="single" w:color="000000" w:sz="8" w:space="0"/>
              <w:right w:val="single" w:color="000000" w:sz="12" w:space="0"/>
            </w:tcBorders>
            <w:shd w:val="clear" w:color="auto" w:fill="auto"/>
            <w:tcMar>
              <w:top w:w="15" w:type="dxa"/>
              <w:left w:w="15" w:type="dxa"/>
              <w:bottom w:w="15" w:type="dxa"/>
              <w:right w:w="15" w:type="dxa"/>
            </w:tcMar>
            <w:vAlign w:val="center"/>
          </w:tcPr>
          <w:p>
            <w:pPr>
              <w:widowControl/>
              <w:jc w:val="center"/>
              <w:rPr>
                <w:rFonts w:hint="eastAsia" w:asciiTheme="minorEastAsia" w:hAnsiTheme="minorEastAsia" w:eastAsiaTheme="minorEastAsia" w:cstheme="minorEastAsia"/>
                <w:kern w:val="0"/>
                <w:sz w:val="21"/>
                <w:szCs w:val="21"/>
              </w:rPr>
            </w:pPr>
          </w:p>
        </w:tc>
      </w:tr>
      <w:tr>
        <w:tblPrEx>
          <w:tblCellMar>
            <w:top w:w="0" w:type="dxa"/>
            <w:left w:w="0" w:type="dxa"/>
            <w:bottom w:w="0" w:type="dxa"/>
            <w:right w:w="0" w:type="dxa"/>
          </w:tblCellMar>
        </w:tblPrEx>
        <w:trPr>
          <w:trHeight w:val="567" w:hRule="atLeast"/>
          <w:jc w:val="center"/>
        </w:trPr>
        <w:tc>
          <w:tcPr>
            <w:tcW w:w="1168" w:type="dxa"/>
            <w:tcBorders>
              <w:top w:val="nil"/>
              <w:left w:val="single" w:color="000000" w:sz="12" w:space="0"/>
              <w:bottom w:val="single" w:color="000000" w:sz="8" w:space="0"/>
              <w:right w:val="single" w:color="000000" w:sz="8" w:space="0"/>
            </w:tcBorders>
            <w:shd w:val="clear" w:color="auto" w:fill="auto"/>
            <w:tcMar>
              <w:top w:w="15" w:type="dxa"/>
              <w:left w:w="15" w:type="dxa"/>
              <w:bottom w:w="15" w:type="dxa"/>
              <w:right w:w="15" w:type="dxa"/>
            </w:tcMar>
            <w:vAlign w:val="center"/>
          </w:tcPr>
          <w:p>
            <w:pPr>
              <w:numPr>
                <w:ilvl w:val="0"/>
                <w:numId w:val="1"/>
              </w:numPr>
              <w:ind w:left="0" w:leftChars="0" w:firstLine="0" w:firstLineChars="0"/>
              <w:jc w:val="center"/>
              <w:rPr>
                <w:rFonts w:hint="eastAsia" w:ascii="宋体" w:hAnsi="宋体" w:eastAsia="宋体" w:cs="宋体"/>
              </w:rPr>
            </w:pPr>
          </w:p>
        </w:tc>
        <w:tc>
          <w:tcPr>
            <w:tcW w:w="2881" w:type="dxa"/>
            <w:gridSpan w:val="3"/>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对建设单位、施工单位在建设工程施工中未履行重要燃气设施安全保护责任行为的处罚</w:t>
            </w:r>
          </w:p>
        </w:tc>
        <w:tc>
          <w:tcPr>
            <w:tcW w:w="1104" w:type="dxa"/>
            <w:gridSpan w:val="2"/>
            <w:tcBorders>
              <w:top w:val="nil"/>
              <w:left w:val="nil"/>
              <w:bottom w:val="single" w:color="000000" w:sz="8" w:space="0"/>
              <w:right w:val="single" w:color="auto" w:sz="8"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eastAsia="zh-CN"/>
              </w:rPr>
              <w:t>区住建局</w:t>
            </w:r>
          </w:p>
        </w:tc>
        <w:tc>
          <w:tcPr>
            <w:tcW w:w="200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情节较轻：没有造成危害后果；主动消除、减轻危害后果的</w:t>
            </w:r>
          </w:p>
        </w:tc>
        <w:tc>
          <w:tcPr>
            <w:tcW w:w="6301"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城镇燃气管理条例》第五十二条：违反本条例规定，建设工程施工范围内有地下燃气管线等重要燃气设施，建设单位未会同施工单位与管道燃气经营者共同制定燃气设施保护方案，或者建设单位、施工单位未采取相应的安全保护措施的，由燃气管理部门责令改正，处1万元以上10万元以下罚款；造成损失的，依法承担赔偿责任；构成犯罪的，依法追究刑事责任。</w:t>
            </w:r>
          </w:p>
        </w:tc>
        <w:tc>
          <w:tcPr>
            <w:tcW w:w="952" w:type="dxa"/>
            <w:tcBorders>
              <w:top w:val="nil"/>
              <w:left w:val="nil"/>
              <w:bottom w:val="single" w:color="000000" w:sz="8" w:space="0"/>
              <w:right w:val="single" w:color="000000" w:sz="12" w:space="0"/>
            </w:tcBorders>
            <w:shd w:val="clear" w:color="auto" w:fill="auto"/>
            <w:tcMar>
              <w:top w:w="15" w:type="dxa"/>
              <w:left w:w="15" w:type="dxa"/>
              <w:bottom w:w="15" w:type="dxa"/>
              <w:right w:w="15" w:type="dxa"/>
            </w:tcMar>
            <w:vAlign w:val="center"/>
          </w:tcPr>
          <w:p>
            <w:pPr>
              <w:widowControl/>
              <w:jc w:val="center"/>
              <w:rPr>
                <w:rFonts w:hint="eastAsia" w:asciiTheme="minorEastAsia" w:hAnsiTheme="minorEastAsia" w:eastAsiaTheme="minorEastAsia" w:cstheme="minorEastAsia"/>
                <w:kern w:val="0"/>
                <w:sz w:val="21"/>
                <w:szCs w:val="21"/>
              </w:rPr>
            </w:pPr>
          </w:p>
        </w:tc>
      </w:tr>
      <w:tr>
        <w:tblPrEx>
          <w:tblCellMar>
            <w:top w:w="0" w:type="dxa"/>
            <w:left w:w="0" w:type="dxa"/>
            <w:bottom w:w="0" w:type="dxa"/>
            <w:right w:w="0" w:type="dxa"/>
          </w:tblCellMar>
        </w:tblPrEx>
        <w:trPr>
          <w:trHeight w:val="567" w:hRule="atLeast"/>
          <w:jc w:val="center"/>
        </w:trPr>
        <w:tc>
          <w:tcPr>
            <w:tcW w:w="1168" w:type="dxa"/>
            <w:tcBorders>
              <w:top w:val="nil"/>
              <w:left w:val="single" w:color="000000" w:sz="12" w:space="0"/>
              <w:bottom w:val="single" w:color="000000" w:sz="8" w:space="0"/>
              <w:right w:val="single" w:color="000000" w:sz="8" w:space="0"/>
            </w:tcBorders>
            <w:shd w:val="clear" w:color="auto" w:fill="auto"/>
            <w:tcMar>
              <w:top w:w="15" w:type="dxa"/>
              <w:left w:w="15" w:type="dxa"/>
              <w:bottom w:w="15" w:type="dxa"/>
              <w:right w:w="15" w:type="dxa"/>
            </w:tcMar>
            <w:vAlign w:val="center"/>
          </w:tcPr>
          <w:p>
            <w:pPr>
              <w:numPr>
                <w:ilvl w:val="0"/>
                <w:numId w:val="1"/>
              </w:numPr>
              <w:ind w:left="0" w:leftChars="0" w:firstLine="0" w:firstLineChars="0"/>
              <w:jc w:val="center"/>
              <w:rPr>
                <w:rFonts w:hint="eastAsia" w:ascii="宋体" w:hAnsi="宋体" w:eastAsia="宋体" w:cs="宋体"/>
                <w:lang w:val="en-US" w:eastAsia="zh-CN"/>
              </w:rPr>
            </w:pPr>
          </w:p>
        </w:tc>
        <w:tc>
          <w:tcPr>
            <w:tcW w:w="2881" w:type="dxa"/>
            <w:gridSpan w:val="3"/>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施工单位未取得施工许可证擅自施工的</w:t>
            </w:r>
          </w:p>
        </w:tc>
        <w:tc>
          <w:tcPr>
            <w:tcW w:w="1104" w:type="dxa"/>
            <w:gridSpan w:val="2"/>
            <w:tcBorders>
              <w:top w:val="nil"/>
              <w:left w:val="nil"/>
              <w:bottom w:val="single" w:color="000000" w:sz="8" w:space="0"/>
              <w:right w:val="single" w:color="auto" w:sz="8"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eastAsia="zh-CN"/>
              </w:rPr>
              <w:t>区住建局</w:t>
            </w:r>
          </w:p>
        </w:tc>
        <w:tc>
          <w:tcPr>
            <w:tcW w:w="200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未造成危害后果；或者造成轻微危害后果的</w:t>
            </w:r>
          </w:p>
        </w:tc>
        <w:tc>
          <w:tcPr>
            <w:tcW w:w="6301"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建筑工程施工许可管理办法》第十二条：对于未取得施工许可证或者为规避办理施工许可证将工程项目分解后擅自施工的，由有管辖权的发证机关责令停止施工，限期改正，对建设单位处工程合同价款1%以上2%以下罚款；对施工单位处3万元以下罚款。</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第十五条依照本办法规定，给予单位罚款处罚的，对单位直接负责的主管人员和其他直接责任人员处单位罚款数额5%以上10%以下罚款。单位及相关责任人受到处罚的，作为不良行为记录予以通报。</w:t>
            </w:r>
          </w:p>
        </w:tc>
        <w:tc>
          <w:tcPr>
            <w:tcW w:w="952" w:type="dxa"/>
            <w:tcBorders>
              <w:top w:val="nil"/>
              <w:left w:val="nil"/>
              <w:bottom w:val="single" w:color="000000" w:sz="8" w:space="0"/>
              <w:right w:val="single" w:color="000000" w:sz="12" w:space="0"/>
            </w:tcBorders>
            <w:shd w:val="clear" w:color="auto" w:fill="auto"/>
            <w:tcMar>
              <w:top w:w="15" w:type="dxa"/>
              <w:left w:w="15" w:type="dxa"/>
              <w:bottom w:w="15" w:type="dxa"/>
              <w:right w:w="15" w:type="dxa"/>
            </w:tcMar>
            <w:vAlign w:val="center"/>
          </w:tcPr>
          <w:p>
            <w:pPr>
              <w:widowControl/>
              <w:jc w:val="center"/>
              <w:rPr>
                <w:rFonts w:hint="eastAsia" w:asciiTheme="minorEastAsia" w:hAnsiTheme="minorEastAsia" w:eastAsiaTheme="minorEastAsia" w:cstheme="minorEastAsia"/>
                <w:kern w:val="0"/>
                <w:sz w:val="21"/>
                <w:szCs w:val="21"/>
              </w:rPr>
            </w:pPr>
          </w:p>
        </w:tc>
      </w:tr>
      <w:tr>
        <w:tblPrEx>
          <w:tblCellMar>
            <w:top w:w="0" w:type="dxa"/>
            <w:left w:w="0" w:type="dxa"/>
            <w:bottom w:w="0" w:type="dxa"/>
            <w:right w:w="0" w:type="dxa"/>
          </w:tblCellMar>
        </w:tblPrEx>
        <w:trPr>
          <w:trHeight w:val="567" w:hRule="atLeast"/>
          <w:jc w:val="center"/>
        </w:trPr>
        <w:tc>
          <w:tcPr>
            <w:tcW w:w="1168" w:type="dxa"/>
            <w:tcBorders>
              <w:top w:val="nil"/>
              <w:left w:val="single" w:color="000000" w:sz="12" w:space="0"/>
              <w:bottom w:val="single" w:color="000000" w:sz="8" w:space="0"/>
              <w:right w:val="single" w:color="000000" w:sz="8" w:space="0"/>
            </w:tcBorders>
            <w:shd w:val="clear" w:color="auto" w:fill="auto"/>
            <w:tcMar>
              <w:top w:w="15" w:type="dxa"/>
              <w:left w:w="15" w:type="dxa"/>
              <w:bottom w:w="15" w:type="dxa"/>
              <w:right w:w="15" w:type="dxa"/>
            </w:tcMar>
            <w:vAlign w:val="center"/>
          </w:tcPr>
          <w:p>
            <w:pPr>
              <w:numPr>
                <w:ilvl w:val="0"/>
                <w:numId w:val="1"/>
              </w:numPr>
              <w:ind w:left="0" w:leftChars="0" w:firstLine="0" w:firstLineChars="0"/>
              <w:jc w:val="center"/>
              <w:rPr>
                <w:rFonts w:hint="eastAsia" w:ascii="宋体" w:hAnsi="宋体" w:eastAsia="宋体" w:cs="宋体"/>
                <w:lang w:val="en-US" w:eastAsia="zh-CN"/>
              </w:rPr>
            </w:pPr>
          </w:p>
        </w:tc>
        <w:tc>
          <w:tcPr>
            <w:tcW w:w="2881" w:type="dxa"/>
            <w:gridSpan w:val="3"/>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采用欺骗、贿赂等不正当手段取得施工许可证</w:t>
            </w:r>
          </w:p>
        </w:tc>
        <w:tc>
          <w:tcPr>
            <w:tcW w:w="1104" w:type="dxa"/>
            <w:gridSpan w:val="2"/>
            <w:tcBorders>
              <w:top w:val="nil"/>
              <w:left w:val="nil"/>
              <w:bottom w:val="single" w:color="000000" w:sz="8" w:space="0"/>
              <w:right w:val="single" w:color="auto" w:sz="8"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eastAsia="zh-CN"/>
              </w:rPr>
              <w:t>区住建局</w:t>
            </w:r>
          </w:p>
        </w:tc>
        <w:tc>
          <w:tcPr>
            <w:tcW w:w="200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未造成危害后果；或者造成轻微危害后果的</w:t>
            </w:r>
          </w:p>
        </w:tc>
        <w:tc>
          <w:tcPr>
            <w:tcW w:w="6301"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建筑工程施工许可管理办法》第十三条：建设单位采用欺骗、贿赂等不正当手段取得施工许可证的，由原发证机关撤销施工许可证，责令停止施工，并处1万元以上3万元以下罚款；构成犯罪的，依法追究刑事责任。</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第十五条依照本办法规定，给予单位罚款处罚的，对单位直接负责的主管人员和其他直接责任人员处单位罚款数额5%以上10%以下罚款。单位及相关责任人受到处罚的，作为不良行为记录予以通报。</w:t>
            </w:r>
          </w:p>
        </w:tc>
        <w:tc>
          <w:tcPr>
            <w:tcW w:w="952" w:type="dxa"/>
            <w:tcBorders>
              <w:top w:val="nil"/>
              <w:left w:val="nil"/>
              <w:bottom w:val="single" w:color="000000" w:sz="8" w:space="0"/>
              <w:right w:val="single" w:color="000000" w:sz="12" w:space="0"/>
            </w:tcBorders>
            <w:shd w:val="clear" w:color="auto" w:fill="auto"/>
            <w:tcMar>
              <w:top w:w="15" w:type="dxa"/>
              <w:left w:w="15" w:type="dxa"/>
              <w:bottom w:w="15" w:type="dxa"/>
              <w:right w:w="15" w:type="dxa"/>
            </w:tcMar>
            <w:vAlign w:val="center"/>
          </w:tcPr>
          <w:p>
            <w:pPr>
              <w:widowControl/>
              <w:jc w:val="center"/>
              <w:rPr>
                <w:rFonts w:hint="eastAsia" w:asciiTheme="minorEastAsia" w:hAnsiTheme="minorEastAsia" w:eastAsiaTheme="minorEastAsia" w:cstheme="minorEastAsia"/>
                <w:kern w:val="0"/>
                <w:sz w:val="21"/>
                <w:szCs w:val="21"/>
              </w:rPr>
            </w:pPr>
          </w:p>
        </w:tc>
      </w:tr>
      <w:tr>
        <w:tblPrEx>
          <w:tblCellMar>
            <w:top w:w="0" w:type="dxa"/>
            <w:left w:w="0" w:type="dxa"/>
            <w:bottom w:w="0" w:type="dxa"/>
            <w:right w:w="0" w:type="dxa"/>
          </w:tblCellMar>
        </w:tblPrEx>
        <w:trPr>
          <w:trHeight w:val="567" w:hRule="atLeast"/>
          <w:jc w:val="center"/>
        </w:trPr>
        <w:tc>
          <w:tcPr>
            <w:tcW w:w="1168" w:type="dxa"/>
            <w:tcBorders>
              <w:top w:val="nil"/>
              <w:left w:val="single" w:color="000000" w:sz="12" w:space="0"/>
              <w:bottom w:val="single" w:color="000000" w:sz="8" w:space="0"/>
              <w:right w:val="single" w:color="000000" w:sz="8" w:space="0"/>
            </w:tcBorders>
            <w:shd w:val="clear" w:color="auto" w:fill="auto"/>
            <w:tcMar>
              <w:top w:w="15" w:type="dxa"/>
              <w:left w:w="15" w:type="dxa"/>
              <w:bottom w:w="15" w:type="dxa"/>
              <w:right w:w="15" w:type="dxa"/>
            </w:tcMar>
            <w:vAlign w:val="center"/>
          </w:tcPr>
          <w:p>
            <w:pPr>
              <w:numPr>
                <w:ilvl w:val="0"/>
                <w:numId w:val="1"/>
              </w:numPr>
              <w:ind w:left="0" w:leftChars="0" w:firstLine="0" w:firstLineChars="0"/>
              <w:jc w:val="center"/>
              <w:rPr>
                <w:rFonts w:hint="eastAsia" w:ascii="宋体" w:hAnsi="宋体" w:eastAsia="宋体" w:cs="宋体"/>
                <w:lang w:val="en-US" w:eastAsia="zh-CN"/>
              </w:rPr>
            </w:pPr>
          </w:p>
        </w:tc>
        <w:tc>
          <w:tcPr>
            <w:tcW w:w="2881" w:type="dxa"/>
            <w:gridSpan w:val="3"/>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隐瞒有关情况或者提供虚假材料申请施工许可证</w:t>
            </w:r>
          </w:p>
        </w:tc>
        <w:tc>
          <w:tcPr>
            <w:tcW w:w="1104" w:type="dxa"/>
            <w:gridSpan w:val="2"/>
            <w:tcBorders>
              <w:top w:val="nil"/>
              <w:left w:val="nil"/>
              <w:bottom w:val="single" w:color="000000" w:sz="8" w:space="0"/>
              <w:right w:val="single" w:color="auto" w:sz="8"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eastAsia="zh-CN"/>
              </w:rPr>
              <w:t>区住建局</w:t>
            </w:r>
          </w:p>
        </w:tc>
        <w:tc>
          <w:tcPr>
            <w:tcW w:w="200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未造成危害后果；或者造成轻微危害后果的</w:t>
            </w:r>
          </w:p>
        </w:tc>
        <w:tc>
          <w:tcPr>
            <w:tcW w:w="6301"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《建筑工程施工许可管理办法》第十四条：建设单位隐瞒有关情况或者提供虚假材料申请施工许可证的，发证机关不予受理或者不予许可，并处1万元以上3万元以下罚款；构成犯罪的，依法追究刑事责任。</w:t>
            </w:r>
          </w:p>
        </w:tc>
        <w:tc>
          <w:tcPr>
            <w:tcW w:w="952" w:type="dxa"/>
            <w:tcBorders>
              <w:top w:val="nil"/>
              <w:left w:val="nil"/>
              <w:bottom w:val="single" w:color="000000" w:sz="8" w:space="0"/>
              <w:right w:val="single" w:color="000000" w:sz="12" w:space="0"/>
            </w:tcBorders>
            <w:shd w:val="clear" w:color="auto" w:fill="auto"/>
            <w:tcMar>
              <w:top w:w="15" w:type="dxa"/>
              <w:left w:w="15" w:type="dxa"/>
              <w:bottom w:w="15" w:type="dxa"/>
              <w:right w:w="15" w:type="dxa"/>
            </w:tcMar>
            <w:vAlign w:val="center"/>
          </w:tcPr>
          <w:p>
            <w:pPr>
              <w:widowControl/>
              <w:jc w:val="center"/>
              <w:rPr>
                <w:rFonts w:hint="eastAsia" w:asciiTheme="minorEastAsia" w:hAnsiTheme="minorEastAsia" w:eastAsiaTheme="minorEastAsia" w:cstheme="minorEastAsia"/>
                <w:kern w:val="0"/>
                <w:sz w:val="21"/>
                <w:szCs w:val="21"/>
              </w:rPr>
            </w:pPr>
          </w:p>
        </w:tc>
      </w:tr>
      <w:tr>
        <w:tblPrEx>
          <w:tblCellMar>
            <w:top w:w="0" w:type="dxa"/>
            <w:left w:w="0" w:type="dxa"/>
            <w:bottom w:w="0" w:type="dxa"/>
            <w:right w:w="0" w:type="dxa"/>
          </w:tblCellMar>
        </w:tblPrEx>
        <w:trPr>
          <w:trHeight w:val="567" w:hRule="atLeast"/>
          <w:jc w:val="center"/>
        </w:trPr>
        <w:tc>
          <w:tcPr>
            <w:tcW w:w="1168" w:type="dxa"/>
            <w:tcBorders>
              <w:top w:val="nil"/>
              <w:left w:val="single" w:color="000000" w:sz="12" w:space="0"/>
              <w:bottom w:val="single" w:color="000000" w:sz="8" w:space="0"/>
              <w:right w:val="single" w:color="000000" w:sz="8" w:space="0"/>
            </w:tcBorders>
            <w:shd w:val="clear" w:color="auto" w:fill="auto"/>
            <w:tcMar>
              <w:top w:w="15" w:type="dxa"/>
              <w:left w:w="15" w:type="dxa"/>
              <w:bottom w:w="15" w:type="dxa"/>
              <w:right w:w="15" w:type="dxa"/>
            </w:tcMar>
            <w:vAlign w:val="center"/>
          </w:tcPr>
          <w:p>
            <w:pPr>
              <w:numPr>
                <w:ilvl w:val="0"/>
                <w:numId w:val="1"/>
              </w:numPr>
              <w:ind w:left="0" w:leftChars="0" w:firstLine="0" w:firstLineChars="0"/>
              <w:jc w:val="center"/>
              <w:rPr>
                <w:rFonts w:hint="eastAsia" w:ascii="宋体" w:hAnsi="宋体" w:eastAsia="宋体" w:cs="宋体"/>
                <w:lang w:val="en-US" w:eastAsia="zh-CN"/>
              </w:rPr>
            </w:pPr>
          </w:p>
        </w:tc>
        <w:tc>
          <w:tcPr>
            <w:tcW w:w="2881" w:type="dxa"/>
            <w:gridSpan w:val="3"/>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伪造或者涂改施工许可证</w:t>
            </w:r>
          </w:p>
        </w:tc>
        <w:tc>
          <w:tcPr>
            <w:tcW w:w="1104" w:type="dxa"/>
            <w:gridSpan w:val="2"/>
            <w:tcBorders>
              <w:top w:val="nil"/>
              <w:left w:val="nil"/>
              <w:bottom w:val="single" w:color="000000" w:sz="8" w:space="0"/>
              <w:right w:val="single" w:color="auto" w:sz="8"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eastAsia="zh-CN"/>
              </w:rPr>
              <w:t>区住建局</w:t>
            </w:r>
          </w:p>
        </w:tc>
        <w:tc>
          <w:tcPr>
            <w:tcW w:w="200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未造成危害后果；或者造成轻微危害后果的</w:t>
            </w:r>
          </w:p>
        </w:tc>
        <w:tc>
          <w:tcPr>
            <w:tcW w:w="6301"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《建筑工程施工许可管理办法》第十四条：建设单位伪造或者涂改施工许可证的，由发证机关责令停止施工，并处1万元以上3万元以下罚款；构成犯罪的，依法追究刑事责任。</w:t>
            </w:r>
          </w:p>
        </w:tc>
        <w:tc>
          <w:tcPr>
            <w:tcW w:w="952" w:type="dxa"/>
            <w:tcBorders>
              <w:top w:val="nil"/>
              <w:left w:val="nil"/>
              <w:bottom w:val="single" w:color="000000" w:sz="8" w:space="0"/>
              <w:right w:val="single" w:color="000000" w:sz="12" w:space="0"/>
            </w:tcBorders>
            <w:shd w:val="clear" w:color="auto" w:fill="auto"/>
            <w:tcMar>
              <w:top w:w="15" w:type="dxa"/>
              <w:left w:w="15" w:type="dxa"/>
              <w:bottom w:w="15" w:type="dxa"/>
              <w:right w:w="15" w:type="dxa"/>
            </w:tcMar>
            <w:vAlign w:val="center"/>
          </w:tcPr>
          <w:p>
            <w:pPr>
              <w:widowControl/>
              <w:jc w:val="center"/>
              <w:rPr>
                <w:rFonts w:hint="eastAsia" w:asciiTheme="minorEastAsia" w:hAnsiTheme="minorEastAsia" w:eastAsiaTheme="minorEastAsia" w:cstheme="minorEastAsia"/>
                <w:kern w:val="0"/>
                <w:sz w:val="21"/>
                <w:szCs w:val="21"/>
              </w:rPr>
            </w:pPr>
          </w:p>
        </w:tc>
      </w:tr>
      <w:tr>
        <w:tblPrEx>
          <w:tblCellMar>
            <w:top w:w="0" w:type="dxa"/>
            <w:left w:w="0" w:type="dxa"/>
            <w:bottom w:w="0" w:type="dxa"/>
            <w:right w:w="0" w:type="dxa"/>
          </w:tblCellMar>
        </w:tblPrEx>
        <w:trPr>
          <w:trHeight w:val="567" w:hRule="atLeast"/>
          <w:jc w:val="center"/>
        </w:trPr>
        <w:tc>
          <w:tcPr>
            <w:tcW w:w="1168" w:type="dxa"/>
            <w:tcBorders>
              <w:top w:val="nil"/>
              <w:left w:val="single" w:color="000000" w:sz="12" w:space="0"/>
              <w:bottom w:val="single" w:color="000000" w:sz="8" w:space="0"/>
              <w:right w:val="single" w:color="000000" w:sz="8" w:space="0"/>
            </w:tcBorders>
            <w:shd w:val="clear" w:color="auto" w:fill="auto"/>
            <w:tcMar>
              <w:top w:w="15" w:type="dxa"/>
              <w:left w:w="15" w:type="dxa"/>
              <w:bottom w:w="15" w:type="dxa"/>
              <w:right w:w="15" w:type="dxa"/>
            </w:tcMar>
            <w:vAlign w:val="center"/>
          </w:tcPr>
          <w:p>
            <w:pPr>
              <w:numPr>
                <w:ilvl w:val="0"/>
                <w:numId w:val="1"/>
              </w:numPr>
              <w:ind w:left="0" w:leftChars="0" w:firstLine="0" w:firstLineChars="0"/>
              <w:jc w:val="center"/>
              <w:rPr>
                <w:rFonts w:hint="eastAsia" w:ascii="宋体" w:hAnsi="宋体" w:eastAsia="宋体" w:cs="宋体"/>
                <w:lang w:val="en-US" w:eastAsia="zh-CN"/>
              </w:rPr>
            </w:pPr>
          </w:p>
        </w:tc>
        <w:tc>
          <w:tcPr>
            <w:tcW w:w="2881" w:type="dxa"/>
            <w:gridSpan w:val="3"/>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公共租赁住房的所有权人及其委托的运营单位违反公租房运营管理相关规定</w:t>
            </w:r>
          </w:p>
        </w:tc>
        <w:tc>
          <w:tcPr>
            <w:tcW w:w="1104" w:type="dxa"/>
            <w:gridSpan w:val="2"/>
            <w:tcBorders>
              <w:top w:val="nil"/>
              <w:left w:val="nil"/>
              <w:bottom w:val="single" w:color="000000" w:sz="8" w:space="0"/>
              <w:right w:val="single" w:color="auto" w:sz="8"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eastAsia="zh-CN"/>
              </w:rPr>
              <w:t>区住建局</w:t>
            </w:r>
          </w:p>
        </w:tc>
        <w:tc>
          <w:tcPr>
            <w:tcW w:w="200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危害后果轻微，主动消除或减轻危害后果的</w:t>
            </w:r>
          </w:p>
        </w:tc>
        <w:tc>
          <w:tcPr>
            <w:tcW w:w="6301"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《公共租赁住房管理办法》第三十四条：公共租赁住房的所有权人及其委托的运营单位违反本办法，有下列行为之一的，由市、县级人民政府住房保障主管部门责令限期改正，并处以3万元以下罚款：</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（一）向不符合条件的对象出租公共租赁住房的；</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（二）未履行公共租赁住房及其配套设施维修养护义务的；</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（三）改变公共租赁住房的保障性住房性质、用途，以及配套设施的规划用途的。</w:t>
            </w:r>
          </w:p>
        </w:tc>
        <w:tc>
          <w:tcPr>
            <w:tcW w:w="952" w:type="dxa"/>
            <w:tcBorders>
              <w:top w:val="nil"/>
              <w:left w:val="nil"/>
              <w:bottom w:val="single" w:color="000000" w:sz="8" w:space="0"/>
              <w:right w:val="single" w:color="000000" w:sz="12" w:space="0"/>
            </w:tcBorders>
            <w:shd w:val="clear" w:color="auto" w:fill="auto"/>
            <w:tcMar>
              <w:top w:w="15" w:type="dxa"/>
              <w:left w:w="15" w:type="dxa"/>
              <w:bottom w:w="15" w:type="dxa"/>
              <w:right w:w="15" w:type="dxa"/>
            </w:tcMar>
            <w:vAlign w:val="center"/>
          </w:tcPr>
          <w:p>
            <w:pPr>
              <w:widowControl/>
              <w:jc w:val="center"/>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cstheme="minorEastAsia"/>
                <w:kern w:val="0"/>
                <w:sz w:val="21"/>
                <w:szCs w:val="21"/>
                <w:lang w:val="en-US" w:eastAsia="zh-CN"/>
              </w:rPr>
              <w:t>住房保障股</w:t>
            </w:r>
          </w:p>
        </w:tc>
      </w:tr>
      <w:tr>
        <w:tblPrEx>
          <w:tblCellMar>
            <w:top w:w="0" w:type="dxa"/>
            <w:left w:w="0" w:type="dxa"/>
            <w:bottom w:w="0" w:type="dxa"/>
            <w:right w:w="0" w:type="dxa"/>
          </w:tblCellMar>
        </w:tblPrEx>
        <w:trPr>
          <w:trHeight w:val="567" w:hRule="atLeast"/>
          <w:jc w:val="center"/>
        </w:trPr>
        <w:tc>
          <w:tcPr>
            <w:tcW w:w="1168" w:type="dxa"/>
            <w:tcBorders>
              <w:top w:val="nil"/>
              <w:left w:val="single" w:color="000000" w:sz="12" w:space="0"/>
              <w:bottom w:val="single" w:color="000000" w:sz="8" w:space="0"/>
              <w:right w:val="single" w:color="000000" w:sz="8" w:space="0"/>
            </w:tcBorders>
            <w:shd w:val="clear" w:color="auto" w:fill="auto"/>
            <w:tcMar>
              <w:top w:w="15" w:type="dxa"/>
              <w:left w:w="15" w:type="dxa"/>
              <w:bottom w:w="15" w:type="dxa"/>
              <w:right w:w="15" w:type="dxa"/>
            </w:tcMar>
            <w:vAlign w:val="center"/>
          </w:tcPr>
          <w:p>
            <w:pPr>
              <w:numPr>
                <w:ilvl w:val="0"/>
                <w:numId w:val="1"/>
              </w:numPr>
              <w:ind w:left="0" w:leftChars="0" w:firstLine="0" w:firstLineChars="0"/>
              <w:jc w:val="center"/>
              <w:rPr>
                <w:rFonts w:hint="eastAsia" w:ascii="宋体" w:hAnsi="宋体" w:eastAsia="宋体" w:cs="宋体"/>
                <w:lang w:val="en-US" w:eastAsia="zh-CN"/>
              </w:rPr>
            </w:pPr>
          </w:p>
        </w:tc>
        <w:tc>
          <w:tcPr>
            <w:tcW w:w="2881" w:type="dxa"/>
            <w:gridSpan w:val="3"/>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申请人以欺骗等不正手段，登记为轮候对象或者承租公共租赁住房的</w:t>
            </w:r>
          </w:p>
        </w:tc>
        <w:tc>
          <w:tcPr>
            <w:tcW w:w="1104" w:type="dxa"/>
            <w:gridSpan w:val="2"/>
            <w:tcBorders>
              <w:top w:val="nil"/>
              <w:left w:val="nil"/>
              <w:bottom w:val="single" w:color="000000" w:sz="8" w:space="0"/>
              <w:right w:val="single" w:color="auto" w:sz="8"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eastAsia="zh-CN"/>
              </w:rPr>
              <w:t>区住建局</w:t>
            </w:r>
          </w:p>
        </w:tc>
        <w:tc>
          <w:tcPr>
            <w:tcW w:w="200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登记为轮候对象，但未承租公共租赁住房的</w:t>
            </w:r>
          </w:p>
        </w:tc>
        <w:tc>
          <w:tcPr>
            <w:tcW w:w="6301"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《公共租赁住房管理办法》第三十五条：申请人隐瞒有关情况或者提供虚假材料申请公共租赁住房的，市、县级人民政府住房保障主管部门不予受理，给予警告，并记入公共租赁住房管理档案。</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以欺骗等不正手段，登记为轮候对象或者承租公共租赁住房的，由市、县级人民政府住房保障主管部门处以1000元以下罚款，记入公共租赁住房管理档案；登记为轮候对象的，取消其登记；已承租公共租赁住房的，责令限期退回所承租公共租赁住房，并按市场价格补缴租金，逾期不退回的，可以依法申请人民法院强制执行，承租人自退回公共租赁住房之日起五年内不得再次申请公共租赁住房。</w:t>
            </w:r>
          </w:p>
        </w:tc>
        <w:tc>
          <w:tcPr>
            <w:tcW w:w="952" w:type="dxa"/>
            <w:tcBorders>
              <w:top w:val="nil"/>
              <w:left w:val="nil"/>
              <w:bottom w:val="single" w:color="000000" w:sz="8" w:space="0"/>
              <w:right w:val="single" w:color="000000" w:sz="12" w:space="0"/>
            </w:tcBorders>
            <w:shd w:val="clear" w:color="auto" w:fill="auto"/>
            <w:tcMar>
              <w:top w:w="15" w:type="dxa"/>
              <w:left w:w="15" w:type="dxa"/>
              <w:bottom w:w="15" w:type="dxa"/>
              <w:right w:w="15" w:type="dxa"/>
            </w:tcMar>
            <w:vAlign w:val="center"/>
          </w:tcPr>
          <w:p>
            <w:pPr>
              <w:widowControl/>
              <w:jc w:val="center"/>
              <w:rPr>
                <w:rFonts w:hint="eastAsia" w:asciiTheme="minorEastAsia" w:hAnsiTheme="minorEastAsia" w:eastAsiaTheme="minorEastAsia" w:cstheme="minorEastAsia"/>
                <w:kern w:val="0"/>
                <w:sz w:val="21"/>
                <w:szCs w:val="21"/>
              </w:rPr>
            </w:pPr>
            <w:r>
              <w:rPr>
                <w:rFonts w:hint="eastAsia" w:asciiTheme="minorEastAsia" w:hAnsiTheme="minorEastAsia" w:cstheme="minorEastAsia"/>
                <w:kern w:val="0"/>
                <w:sz w:val="21"/>
                <w:szCs w:val="21"/>
                <w:lang w:val="en-US" w:eastAsia="zh-CN"/>
              </w:rPr>
              <w:t>住房保障股</w:t>
            </w:r>
          </w:p>
        </w:tc>
      </w:tr>
      <w:tr>
        <w:tblPrEx>
          <w:tblCellMar>
            <w:top w:w="0" w:type="dxa"/>
            <w:left w:w="0" w:type="dxa"/>
            <w:bottom w:w="0" w:type="dxa"/>
            <w:right w:w="0" w:type="dxa"/>
          </w:tblCellMar>
        </w:tblPrEx>
        <w:trPr>
          <w:trHeight w:val="567" w:hRule="atLeast"/>
          <w:jc w:val="center"/>
        </w:trPr>
        <w:tc>
          <w:tcPr>
            <w:tcW w:w="1168" w:type="dxa"/>
            <w:tcBorders>
              <w:top w:val="nil"/>
              <w:left w:val="single" w:color="000000" w:sz="12" w:space="0"/>
              <w:bottom w:val="single" w:color="000000" w:sz="8" w:space="0"/>
              <w:right w:val="single" w:color="000000" w:sz="8" w:space="0"/>
            </w:tcBorders>
            <w:shd w:val="clear" w:color="auto" w:fill="auto"/>
            <w:tcMar>
              <w:top w:w="15" w:type="dxa"/>
              <w:left w:w="15" w:type="dxa"/>
              <w:bottom w:w="15" w:type="dxa"/>
              <w:right w:w="15" w:type="dxa"/>
            </w:tcMar>
            <w:vAlign w:val="center"/>
          </w:tcPr>
          <w:p>
            <w:pPr>
              <w:numPr>
                <w:ilvl w:val="0"/>
                <w:numId w:val="1"/>
              </w:numPr>
              <w:ind w:left="0" w:leftChars="0" w:firstLine="0" w:firstLineChars="0"/>
              <w:jc w:val="center"/>
              <w:rPr>
                <w:rFonts w:hint="eastAsia" w:ascii="宋体" w:hAnsi="宋体" w:eastAsia="宋体" w:cs="宋体"/>
                <w:lang w:val="en-US" w:eastAsia="zh-CN"/>
              </w:rPr>
            </w:pPr>
          </w:p>
        </w:tc>
        <w:tc>
          <w:tcPr>
            <w:tcW w:w="2881" w:type="dxa"/>
            <w:gridSpan w:val="3"/>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公租房承租人违反公租房管理使用规定</w:t>
            </w:r>
          </w:p>
        </w:tc>
        <w:tc>
          <w:tcPr>
            <w:tcW w:w="1104" w:type="dxa"/>
            <w:gridSpan w:val="2"/>
            <w:tcBorders>
              <w:top w:val="nil"/>
              <w:left w:val="nil"/>
              <w:bottom w:val="single" w:color="000000" w:sz="8" w:space="0"/>
              <w:right w:val="single" w:color="auto" w:sz="8"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eastAsia="zh-CN"/>
              </w:rPr>
              <w:t>区住建局</w:t>
            </w:r>
          </w:p>
        </w:tc>
        <w:tc>
          <w:tcPr>
            <w:tcW w:w="200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按照要求改正的，无违法所得</w:t>
            </w:r>
          </w:p>
        </w:tc>
        <w:tc>
          <w:tcPr>
            <w:tcW w:w="6301"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公共租赁住房管理办法》第三十六条：承租人有下列行为之一的，由市、县级人民政府住房保障主管部门责令按市场价格补缴从违法行为发生之日起的租金，记入公共租赁住房管理档案，处以1000元以下罚款；有违法所得的，处以违法所得3倍以下但不超过3万元的罚款：   </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 xml:space="preserve">（一）转借、转租或者擅自调换所承租公共租赁住房的；   </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（二）改变所承租公共租赁住房用途的；</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（三）破坏或者擅自装修所承租公共租赁住房，拒不恢复原状的；</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（四）在公共租赁住房内从事违法活动的；</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 xml:space="preserve">（五）无正当理由连续6个月以上闲置公共租赁住房的。   </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有前款所列行为，承租人自退回公共租赁住房之日起五年内不得再次申请公共租赁住房；造成损失的，依法承担赔偿责任。</w:t>
            </w:r>
          </w:p>
        </w:tc>
        <w:tc>
          <w:tcPr>
            <w:tcW w:w="952" w:type="dxa"/>
            <w:tcBorders>
              <w:top w:val="nil"/>
              <w:left w:val="nil"/>
              <w:bottom w:val="single" w:color="000000" w:sz="8" w:space="0"/>
              <w:right w:val="single" w:color="000000" w:sz="12" w:space="0"/>
            </w:tcBorders>
            <w:shd w:val="clear" w:color="auto" w:fill="auto"/>
            <w:tcMar>
              <w:top w:w="15" w:type="dxa"/>
              <w:left w:w="15" w:type="dxa"/>
              <w:bottom w:w="15" w:type="dxa"/>
              <w:right w:w="15" w:type="dxa"/>
            </w:tcMar>
            <w:vAlign w:val="center"/>
          </w:tcPr>
          <w:p>
            <w:pPr>
              <w:widowControl/>
              <w:jc w:val="center"/>
              <w:rPr>
                <w:rFonts w:hint="eastAsia" w:asciiTheme="minorEastAsia" w:hAnsiTheme="minorEastAsia" w:eastAsiaTheme="minorEastAsia" w:cstheme="minorEastAsia"/>
                <w:kern w:val="0"/>
                <w:sz w:val="21"/>
                <w:szCs w:val="21"/>
              </w:rPr>
            </w:pPr>
            <w:r>
              <w:rPr>
                <w:rFonts w:hint="eastAsia" w:asciiTheme="minorEastAsia" w:hAnsiTheme="minorEastAsia" w:cstheme="minorEastAsia"/>
                <w:kern w:val="0"/>
                <w:sz w:val="21"/>
                <w:szCs w:val="21"/>
                <w:lang w:val="en-US" w:eastAsia="zh-CN"/>
              </w:rPr>
              <w:t>住房保障股</w:t>
            </w:r>
          </w:p>
        </w:tc>
      </w:tr>
      <w:tr>
        <w:tblPrEx>
          <w:tblCellMar>
            <w:top w:w="0" w:type="dxa"/>
            <w:left w:w="0" w:type="dxa"/>
            <w:bottom w:w="0" w:type="dxa"/>
            <w:right w:w="0" w:type="dxa"/>
          </w:tblCellMar>
        </w:tblPrEx>
        <w:trPr>
          <w:trHeight w:val="567" w:hRule="atLeast"/>
          <w:jc w:val="center"/>
        </w:trPr>
        <w:tc>
          <w:tcPr>
            <w:tcW w:w="1168" w:type="dxa"/>
            <w:tcBorders>
              <w:top w:val="nil"/>
              <w:left w:val="single" w:color="000000" w:sz="12" w:space="0"/>
              <w:bottom w:val="single" w:color="000000" w:sz="8" w:space="0"/>
              <w:right w:val="single" w:color="000000" w:sz="8" w:space="0"/>
            </w:tcBorders>
            <w:shd w:val="clear" w:color="auto" w:fill="auto"/>
            <w:tcMar>
              <w:top w:w="15" w:type="dxa"/>
              <w:left w:w="15" w:type="dxa"/>
              <w:bottom w:w="15" w:type="dxa"/>
              <w:right w:w="15" w:type="dxa"/>
            </w:tcMar>
            <w:vAlign w:val="center"/>
          </w:tcPr>
          <w:p>
            <w:pPr>
              <w:numPr>
                <w:ilvl w:val="0"/>
                <w:numId w:val="1"/>
              </w:numPr>
              <w:ind w:left="0" w:leftChars="0" w:firstLine="0" w:firstLineChars="0"/>
              <w:jc w:val="center"/>
              <w:rPr>
                <w:rFonts w:hint="eastAsia" w:ascii="宋体" w:hAnsi="宋体" w:eastAsia="宋体" w:cs="宋体"/>
                <w:lang w:val="en-US" w:eastAsia="zh-CN"/>
              </w:rPr>
            </w:pPr>
          </w:p>
        </w:tc>
        <w:tc>
          <w:tcPr>
            <w:tcW w:w="2881" w:type="dxa"/>
            <w:gridSpan w:val="3"/>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“安管人员”涂改、倒卖、出租、出借或者以其他形式非法转让安全生产考核合格证书</w:t>
            </w:r>
          </w:p>
        </w:tc>
        <w:tc>
          <w:tcPr>
            <w:tcW w:w="1104" w:type="dxa"/>
            <w:gridSpan w:val="2"/>
            <w:tcBorders>
              <w:top w:val="nil"/>
              <w:left w:val="nil"/>
              <w:bottom w:val="single" w:color="000000" w:sz="8" w:space="0"/>
              <w:right w:val="single" w:color="auto" w:sz="8"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eastAsia="zh-CN"/>
              </w:rPr>
              <w:t>区住建局</w:t>
            </w:r>
          </w:p>
        </w:tc>
        <w:tc>
          <w:tcPr>
            <w:tcW w:w="200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未造成危害后果或造成轻微危害后果的</w:t>
            </w:r>
          </w:p>
        </w:tc>
        <w:tc>
          <w:tcPr>
            <w:tcW w:w="6301"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建筑施工企业主要负责人、项目负责人和专职安全生产管理人员安全生产管理规定》第二十八条：“安管人员”涂改、倒卖、出租、出借或者以其他形式非法转让安全生产考核合格证书的，由县级以上地方人民政府住房城乡建设主管部门给予警告，并处1000元以上5000元以下的罚款。</w:t>
            </w:r>
          </w:p>
        </w:tc>
        <w:tc>
          <w:tcPr>
            <w:tcW w:w="952" w:type="dxa"/>
            <w:tcBorders>
              <w:top w:val="nil"/>
              <w:left w:val="nil"/>
              <w:bottom w:val="single" w:color="000000" w:sz="8" w:space="0"/>
              <w:right w:val="single" w:color="000000" w:sz="12" w:space="0"/>
            </w:tcBorders>
            <w:shd w:val="clear" w:color="auto" w:fill="auto"/>
            <w:tcMar>
              <w:top w:w="15" w:type="dxa"/>
              <w:left w:w="15" w:type="dxa"/>
              <w:bottom w:w="15" w:type="dxa"/>
              <w:right w:w="15" w:type="dxa"/>
            </w:tcMar>
            <w:vAlign w:val="center"/>
          </w:tcPr>
          <w:p>
            <w:pPr>
              <w:widowControl/>
              <w:jc w:val="center"/>
              <w:rPr>
                <w:rFonts w:hint="eastAsia" w:asciiTheme="minorEastAsia" w:hAnsiTheme="minorEastAsia" w:eastAsiaTheme="minorEastAsia" w:cstheme="minorEastAsia"/>
                <w:kern w:val="0"/>
                <w:sz w:val="21"/>
                <w:szCs w:val="21"/>
              </w:rPr>
            </w:pPr>
          </w:p>
        </w:tc>
      </w:tr>
      <w:tr>
        <w:tblPrEx>
          <w:tblCellMar>
            <w:top w:w="0" w:type="dxa"/>
            <w:left w:w="0" w:type="dxa"/>
            <w:bottom w:w="0" w:type="dxa"/>
            <w:right w:w="0" w:type="dxa"/>
          </w:tblCellMar>
        </w:tblPrEx>
        <w:trPr>
          <w:trHeight w:val="567" w:hRule="atLeast"/>
          <w:jc w:val="center"/>
        </w:trPr>
        <w:tc>
          <w:tcPr>
            <w:tcW w:w="1168" w:type="dxa"/>
            <w:tcBorders>
              <w:top w:val="nil"/>
              <w:left w:val="single" w:color="000000" w:sz="12" w:space="0"/>
              <w:bottom w:val="single" w:color="000000" w:sz="8" w:space="0"/>
              <w:right w:val="single" w:color="000000" w:sz="8" w:space="0"/>
            </w:tcBorders>
            <w:shd w:val="clear" w:color="auto" w:fill="auto"/>
            <w:tcMar>
              <w:top w:w="15" w:type="dxa"/>
              <w:left w:w="15" w:type="dxa"/>
              <w:bottom w:w="15" w:type="dxa"/>
              <w:right w:w="15" w:type="dxa"/>
            </w:tcMar>
            <w:vAlign w:val="center"/>
          </w:tcPr>
          <w:p>
            <w:pPr>
              <w:numPr>
                <w:ilvl w:val="0"/>
                <w:numId w:val="1"/>
              </w:numPr>
              <w:ind w:left="0" w:leftChars="0" w:firstLine="0" w:firstLineChars="0"/>
              <w:jc w:val="center"/>
              <w:rPr>
                <w:rFonts w:hint="eastAsia" w:ascii="宋体" w:hAnsi="宋体" w:eastAsia="宋体" w:cs="宋体"/>
                <w:lang w:val="en-US" w:eastAsia="zh-CN"/>
              </w:rPr>
            </w:pPr>
          </w:p>
        </w:tc>
        <w:tc>
          <w:tcPr>
            <w:tcW w:w="2881" w:type="dxa"/>
            <w:gridSpan w:val="3"/>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建筑施工企业未按规定开展“安管人员”安全生产教育培训考核，或者未按规定如实将考核情况记入安全生产教育培训档案</w:t>
            </w:r>
          </w:p>
        </w:tc>
        <w:tc>
          <w:tcPr>
            <w:tcW w:w="1104" w:type="dxa"/>
            <w:gridSpan w:val="2"/>
            <w:tcBorders>
              <w:top w:val="nil"/>
              <w:left w:val="nil"/>
              <w:bottom w:val="single" w:color="000000" w:sz="8" w:space="0"/>
              <w:right w:val="single" w:color="auto" w:sz="8"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eastAsia="zh-CN"/>
              </w:rPr>
              <w:t>区住建局</w:t>
            </w:r>
          </w:p>
        </w:tc>
        <w:tc>
          <w:tcPr>
            <w:tcW w:w="200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限期内改正的</w:t>
            </w:r>
            <w:r>
              <w:rPr>
                <w:rFonts w:hint="eastAsia" w:asciiTheme="minorEastAsia" w:hAnsiTheme="minorEastAsia" w:eastAsiaTheme="minorEastAsia" w:cstheme="minorEastAsia"/>
                <w:b/>
                <w:sz w:val="21"/>
                <w:szCs w:val="21"/>
              </w:rPr>
              <w:t>/</w:t>
            </w:r>
            <w:r>
              <w:rPr>
                <w:rFonts w:hint="eastAsia" w:asciiTheme="minorEastAsia" w:hAnsiTheme="minorEastAsia" w:eastAsiaTheme="minorEastAsia" w:cstheme="minorEastAsia"/>
                <w:sz w:val="21"/>
                <w:szCs w:val="21"/>
              </w:rPr>
              <w:t>逾期未改正，尚未造成生产安全事故的</w:t>
            </w:r>
          </w:p>
        </w:tc>
        <w:tc>
          <w:tcPr>
            <w:tcW w:w="6301"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建筑施工企业主要负责人、项目负责人和专职安全生产管理人员安全生产管理规定》第二十九条：建筑施工企业未按规定开展“安管人员”安全生产教育培训考核，或者未按规定如实将考核情况记入安全生产教育培训档案的，由县级以上地方人民政府住房城乡建设主管部门责令限期改正，并处2万元以下的罚款。</w:t>
            </w:r>
          </w:p>
        </w:tc>
        <w:tc>
          <w:tcPr>
            <w:tcW w:w="952" w:type="dxa"/>
            <w:tcBorders>
              <w:top w:val="nil"/>
              <w:left w:val="nil"/>
              <w:bottom w:val="single" w:color="000000" w:sz="8" w:space="0"/>
              <w:right w:val="single" w:color="000000" w:sz="12" w:space="0"/>
            </w:tcBorders>
            <w:shd w:val="clear" w:color="auto" w:fill="auto"/>
            <w:tcMar>
              <w:top w:w="15" w:type="dxa"/>
              <w:left w:w="15" w:type="dxa"/>
              <w:bottom w:w="15" w:type="dxa"/>
              <w:right w:w="15" w:type="dxa"/>
            </w:tcMar>
            <w:vAlign w:val="center"/>
          </w:tcPr>
          <w:p>
            <w:pPr>
              <w:widowControl/>
              <w:jc w:val="center"/>
              <w:rPr>
                <w:rFonts w:hint="eastAsia" w:asciiTheme="minorEastAsia" w:hAnsiTheme="minorEastAsia" w:eastAsiaTheme="minorEastAsia" w:cstheme="minorEastAsia"/>
                <w:kern w:val="0"/>
                <w:sz w:val="21"/>
                <w:szCs w:val="21"/>
              </w:rPr>
            </w:pPr>
          </w:p>
        </w:tc>
      </w:tr>
      <w:tr>
        <w:tblPrEx>
          <w:tblCellMar>
            <w:top w:w="0" w:type="dxa"/>
            <w:left w:w="0" w:type="dxa"/>
            <w:bottom w:w="0" w:type="dxa"/>
            <w:right w:w="0" w:type="dxa"/>
          </w:tblCellMar>
        </w:tblPrEx>
        <w:trPr>
          <w:trHeight w:val="567" w:hRule="atLeast"/>
          <w:jc w:val="center"/>
        </w:trPr>
        <w:tc>
          <w:tcPr>
            <w:tcW w:w="1168" w:type="dxa"/>
            <w:tcBorders>
              <w:top w:val="nil"/>
              <w:left w:val="single" w:color="000000" w:sz="12" w:space="0"/>
              <w:bottom w:val="single" w:color="000000" w:sz="8" w:space="0"/>
              <w:right w:val="single" w:color="000000" w:sz="8" w:space="0"/>
            </w:tcBorders>
            <w:shd w:val="clear" w:color="auto" w:fill="auto"/>
            <w:tcMar>
              <w:top w:w="15" w:type="dxa"/>
              <w:left w:w="15" w:type="dxa"/>
              <w:bottom w:w="15" w:type="dxa"/>
              <w:right w:w="15" w:type="dxa"/>
            </w:tcMar>
            <w:vAlign w:val="center"/>
          </w:tcPr>
          <w:p>
            <w:pPr>
              <w:numPr>
                <w:ilvl w:val="0"/>
                <w:numId w:val="1"/>
              </w:numPr>
              <w:ind w:left="0" w:leftChars="0" w:firstLine="0" w:firstLineChars="0"/>
              <w:jc w:val="center"/>
              <w:rPr>
                <w:rFonts w:hint="eastAsia" w:ascii="宋体" w:hAnsi="宋体" w:eastAsia="宋体" w:cs="宋体"/>
                <w:lang w:val="en-US" w:eastAsia="zh-CN"/>
              </w:rPr>
            </w:pPr>
          </w:p>
        </w:tc>
        <w:tc>
          <w:tcPr>
            <w:tcW w:w="2881" w:type="dxa"/>
            <w:gridSpan w:val="3"/>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建筑施工企业未按规定设立安全生产管理机构</w:t>
            </w:r>
          </w:p>
        </w:tc>
        <w:tc>
          <w:tcPr>
            <w:tcW w:w="1104" w:type="dxa"/>
            <w:gridSpan w:val="2"/>
            <w:tcBorders>
              <w:top w:val="nil"/>
              <w:left w:val="nil"/>
              <w:bottom w:val="single" w:color="000000" w:sz="8" w:space="0"/>
              <w:right w:val="single" w:color="auto" w:sz="8"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eastAsia="zh-CN"/>
              </w:rPr>
              <w:t>区住建局</w:t>
            </w:r>
          </w:p>
        </w:tc>
        <w:tc>
          <w:tcPr>
            <w:tcW w:w="200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尚未造成生产安全事故的</w:t>
            </w:r>
          </w:p>
        </w:tc>
        <w:tc>
          <w:tcPr>
            <w:tcW w:w="6301"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建筑施工企业主要负责人、项目负责人和专职安全生产管理人员安全生产管理规定》第三十条：建筑施工企业有下列行为之一的，由县级以上人民政府住房城乡建设主管部门责令限期改正；逾期未改正的，责令停业整顿，并处2万元以下的罚款；导致不具备《安全生产许可证条例》规定的安全生产条件的，应当依法暂扣或者吊销安全生产许可证：</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　　（一）未按规定设立安全生产管理机构的；</w:t>
            </w:r>
          </w:p>
        </w:tc>
        <w:tc>
          <w:tcPr>
            <w:tcW w:w="952" w:type="dxa"/>
            <w:tcBorders>
              <w:top w:val="nil"/>
              <w:left w:val="nil"/>
              <w:bottom w:val="single" w:color="000000" w:sz="8" w:space="0"/>
              <w:right w:val="single" w:color="000000" w:sz="12" w:space="0"/>
            </w:tcBorders>
            <w:shd w:val="clear" w:color="auto" w:fill="auto"/>
            <w:tcMar>
              <w:top w:w="15" w:type="dxa"/>
              <w:left w:w="15" w:type="dxa"/>
              <w:bottom w:w="15" w:type="dxa"/>
              <w:right w:w="15" w:type="dxa"/>
            </w:tcMar>
            <w:vAlign w:val="center"/>
          </w:tcPr>
          <w:p>
            <w:pPr>
              <w:widowControl/>
              <w:jc w:val="center"/>
              <w:rPr>
                <w:rFonts w:hint="eastAsia" w:asciiTheme="minorEastAsia" w:hAnsiTheme="minorEastAsia" w:eastAsiaTheme="minorEastAsia" w:cstheme="minorEastAsia"/>
                <w:kern w:val="0"/>
                <w:sz w:val="21"/>
                <w:szCs w:val="21"/>
              </w:rPr>
            </w:pPr>
          </w:p>
        </w:tc>
      </w:tr>
      <w:tr>
        <w:tblPrEx>
          <w:tblCellMar>
            <w:top w:w="0" w:type="dxa"/>
            <w:left w:w="0" w:type="dxa"/>
            <w:bottom w:w="0" w:type="dxa"/>
            <w:right w:w="0" w:type="dxa"/>
          </w:tblCellMar>
        </w:tblPrEx>
        <w:trPr>
          <w:trHeight w:val="567" w:hRule="atLeast"/>
          <w:jc w:val="center"/>
        </w:trPr>
        <w:tc>
          <w:tcPr>
            <w:tcW w:w="1168" w:type="dxa"/>
            <w:tcBorders>
              <w:top w:val="nil"/>
              <w:left w:val="single" w:color="000000" w:sz="12" w:space="0"/>
              <w:bottom w:val="single" w:color="000000" w:sz="8" w:space="0"/>
              <w:right w:val="single" w:color="000000" w:sz="8" w:space="0"/>
            </w:tcBorders>
            <w:shd w:val="clear" w:color="auto" w:fill="auto"/>
            <w:tcMar>
              <w:top w:w="15" w:type="dxa"/>
              <w:left w:w="15" w:type="dxa"/>
              <w:bottom w:w="15" w:type="dxa"/>
              <w:right w:w="15" w:type="dxa"/>
            </w:tcMar>
            <w:vAlign w:val="center"/>
          </w:tcPr>
          <w:p>
            <w:pPr>
              <w:numPr>
                <w:ilvl w:val="0"/>
                <w:numId w:val="1"/>
              </w:numPr>
              <w:ind w:left="0" w:leftChars="0" w:firstLine="0" w:firstLineChars="0"/>
              <w:jc w:val="center"/>
              <w:rPr>
                <w:rFonts w:hint="eastAsia" w:ascii="宋体" w:hAnsi="宋体" w:eastAsia="宋体" w:cs="宋体"/>
                <w:lang w:val="en-US" w:eastAsia="zh-CN"/>
              </w:rPr>
            </w:pPr>
          </w:p>
        </w:tc>
        <w:tc>
          <w:tcPr>
            <w:tcW w:w="2881" w:type="dxa"/>
            <w:gridSpan w:val="3"/>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建筑施工企业未按规定配备专职安全生产管理人员</w:t>
            </w:r>
          </w:p>
        </w:tc>
        <w:tc>
          <w:tcPr>
            <w:tcW w:w="1104" w:type="dxa"/>
            <w:gridSpan w:val="2"/>
            <w:tcBorders>
              <w:top w:val="nil"/>
              <w:left w:val="nil"/>
              <w:bottom w:val="single" w:color="000000" w:sz="8" w:space="0"/>
              <w:right w:val="single" w:color="auto" w:sz="8"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eastAsia="zh-CN"/>
              </w:rPr>
              <w:t>区住建局</w:t>
            </w:r>
          </w:p>
        </w:tc>
        <w:tc>
          <w:tcPr>
            <w:tcW w:w="200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虽配备专职安全生产管理人员，但人数不足</w:t>
            </w:r>
          </w:p>
        </w:tc>
        <w:tc>
          <w:tcPr>
            <w:tcW w:w="6301"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建筑施工企业主要负责人、项目负责人和专职安全生产管理人员安全生产管理规定》第三十条：建筑施工企业有下列行为之一的，由县级以上人民政府住房城乡建设主管部门责令限期改正；逾期未改正的，责令停业整顿，并处2万元以下的罚款；导致不具备《安全生产许可证条例》规定的安全生产条件的，应当依法暂扣或者吊销安全生产许可证：（二）未按规定配备专职安全生产管理人员的；</w:t>
            </w:r>
          </w:p>
        </w:tc>
        <w:tc>
          <w:tcPr>
            <w:tcW w:w="952" w:type="dxa"/>
            <w:tcBorders>
              <w:top w:val="nil"/>
              <w:left w:val="nil"/>
              <w:bottom w:val="single" w:color="000000" w:sz="8" w:space="0"/>
              <w:right w:val="single" w:color="000000" w:sz="12" w:space="0"/>
            </w:tcBorders>
            <w:shd w:val="clear" w:color="auto" w:fill="auto"/>
            <w:tcMar>
              <w:top w:w="15" w:type="dxa"/>
              <w:left w:w="15" w:type="dxa"/>
              <w:bottom w:w="15" w:type="dxa"/>
              <w:right w:w="15" w:type="dxa"/>
            </w:tcMar>
            <w:vAlign w:val="center"/>
          </w:tcPr>
          <w:p>
            <w:pPr>
              <w:widowControl/>
              <w:jc w:val="center"/>
              <w:rPr>
                <w:rFonts w:hint="eastAsia" w:asciiTheme="minorEastAsia" w:hAnsiTheme="minorEastAsia" w:eastAsiaTheme="minorEastAsia" w:cstheme="minorEastAsia"/>
                <w:kern w:val="0"/>
                <w:sz w:val="21"/>
                <w:szCs w:val="21"/>
              </w:rPr>
            </w:pPr>
          </w:p>
        </w:tc>
      </w:tr>
      <w:tr>
        <w:tblPrEx>
          <w:tblCellMar>
            <w:top w:w="0" w:type="dxa"/>
            <w:left w:w="0" w:type="dxa"/>
            <w:bottom w:w="0" w:type="dxa"/>
            <w:right w:w="0" w:type="dxa"/>
          </w:tblCellMar>
        </w:tblPrEx>
        <w:trPr>
          <w:trHeight w:val="567" w:hRule="atLeast"/>
          <w:jc w:val="center"/>
        </w:trPr>
        <w:tc>
          <w:tcPr>
            <w:tcW w:w="1168" w:type="dxa"/>
            <w:tcBorders>
              <w:top w:val="nil"/>
              <w:left w:val="single" w:color="000000" w:sz="12" w:space="0"/>
              <w:bottom w:val="single" w:color="000000" w:sz="8" w:space="0"/>
              <w:right w:val="single" w:color="000000" w:sz="8" w:space="0"/>
            </w:tcBorders>
            <w:shd w:val="clear" w:color="auto" w:fill="auto"/>
            <w:tcMar>
              <w:top w:w="15" w:type="dxa"/>
              <w:left w:w="15" w:type="dxa"/>
              <w:bottom w:w="15" w:type="dxa"/>
              <w:right w:w="15" w:type="dxa"/>
            </w:tcMar>
            <w:vAlign w:val="center"/>
          </w:tcPr>
          <w:p>
            <w:pPr>
              <w:numPr>
                <w:ilvl w:val="0"/>
                <w:numId w:val="1"/>
              </w:numPr>
              <w:ind w:left="0" w:leftChars="0" w:firstLine="0" w:firstLineChars="0"/>
              <w:jc w:val="center"/>
              <w:rPr>
                <w:rFonts w:hint="eastAsia" w:ascii="宋体" w:hAnsi="宋体" w:eastAsia="宋体" w:cs="宋体"/>
                <w:lang w:val="en-US" w:eastAsia="zh-CN"/>
              </w:rPr>
            </w:pPr>
          </w:p>
        </w:tc>
        <w:tc>
          <w:tcPr>
            <w:tcW w:w="2881" w:type="dxa"/>
            <w:gridSpan w:val="3"/>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危险性较大的分部分项工程施工时未安排专职安全生产管理人员现场监督</w:t>
            </w:r>
          </w:p>
        </w:tc>
        <w:tc>
          <w:tcPr>
            <w:tcW w:w="1104" w:type="dxa"/>
            <w:gridSpan w:val="2"/>
            <w:tcBorders>
              <w:top w:val="nil"/>
              <w:left w:val="nil"/>
              <w:bottom w:val="single" w:color="000000" w:sz="8" w:space="0"/>
              <w:right w:val="single" w:color="auto" w:sz="8"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eastAsia="zh-CN"/>
              </w:rPr>
              <w:t>区住建局</w:t>
            </w:r>
          </w:p>
        </w:tc>
        <w:tc>
          <w:tcPr>
            <w:tcW w:w="200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虽配备专职安全生产管理人员，但尚不足</w:t>
            </w:r>
          </w:p>
        </w:tc>
        <w:tc>
          <w:tcPr>
            <w:tcW w:w="6301"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建筑施工企业主要负责人、项目负责人和专职安全生产管理人员安全生产管理规定》第三十条：建筑施工企业有下列行为之一的，由县级以上人民政府住房城乡建设主管部门责令限期改正；逾期未改正的，责令停业整顿，并处2万元以下的罚款；导致不具备《安全生产许可证条例》规定的安全生产条件的，应当依法暂扣或者吊销安全生产许可证：</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　　（三）危险性较大的分部分项工程施工时未安排专职安全生产管理人员现场监督的；</w:t>
            </w:r>
          </w:p>
        </w:tc>
        <w:tc>
          <w:tcPr>
            <w:tcW w:w="952" w:type="dxa"/>
            <w:tcBorders>
              <w:top w:val="nil"/>
              <w:left w:val="nil"/>
              <w:bottom w:val="single" w:color="000000" w:sz="8" w:space="0"/>
              <w:right w:val="single" w:color="000000" w:sz="12" w:space="0"/>
            </w:tcBorders>
            <w:shd w:val="clear" w:color="auto" w:fill="auto"/>
            <w:tcMar>
              <w:top w:w="15" w:type="dxa"/>
              <w:left w:w="15" w:type="dxa"/>
              <w:bottom w:w="15" w:type="dxa"/>
              <w:right w:w="15" w:type="dxa"/>
            </w:tcMar>
            <w:vAlign w:val="center"/>
          </w:tcPr>
          <w:p>
            <w:pPr>
              <w:widowControl/>
              <w:jc w:val="center"/>
              <w:rPr>
                <w:rFonts w:hint="eastAsia" w:asciiTheme="minorEastAsia" w:hAnsiTheme="minorEastAsia" w:eastAsiaTheme="minorEastAsia" w:cstheme="minorEastAsia"/>
                <w:kern w:val="0"/>
                <w:sz w:val="21"/>
                <w:szCs w:val="21"/>
              </w:rPr>
            </w:pPr>
          </w:p>
        </w:tc>
      </w:tr>
      <w:tr>
        <w:tblPrEx>
          <w:tblCellMar>
            <w:top w:w="0" w:type="dxa"/>
            <w:left w:w="0" w:type="dxa"/>
            <w:bottom w:w="0" w:type="dxa"/>
            <w:right w:w="0" w:type="dxa"/>
          </w:tblCellMar>
        </w:tblPrEx>
        <w:trPr>
          <w:trHeight w:val="567" w:hRule="atLeast"/>
          <w:jc w:val="center"/>
        </w:trPr>
        <w:tc>
          <w:tcPr>
            <w:tcW w:w="1168" w:type="dxa"/>
            <w:tcBorders>
              <w:top w:val="nil"/>
              <w:left w:val="single" w:color="000000" w:sz="12" w:space="0"/>
              <w:bottom w:val="single" w:color="000000" w:sz="8" w:space="0"/>
              <w:right w:val="single" w:color="000000" w:sz="8" w:space="0"/>
            </w:tcBorders>
            <w:shd w:val="clear" w:color="auto" w:fill="auto"/>
            <w:tcMar>
              <w:top w:w="15" w:type="dxa"/>
              <w:left w:w="15" w:type="dxa"/>
              <w:bottom w:w="15" w:type="dxa"/>
              <w:right w:w="15" w:type="dxa"/>
            </w:tcMar>
            <w:vAlign w:val="center"/>
          </w:tcPr>
          <w:p>
            <w:pPr>
              <w:numPr>
                <w:ilvl w:val="0"/>
                <w:numId w:val="1"/>
              </w:numPr>
              <w:ind w:left="0" w:leftChars="0" w:firstLine="0" w:firstLineChars="0"/>
              <w:jc w:val="center"/>
              <w:rPr>
                <w:rFonts w:hint="eastAsia" w:ascii="宋体" w:hAnsi="宋体" w:eastAsia="宋体" w:cs="宋体"/>
                <w:lang w:val="en-US" w:eastAsia="zh-CN"/>
              </w:rPr>
            </w:pPr>
          </w:p>
        </w:tc>
        <w:tc>
          <w:tcPr>
            <w:tcW w:w="2881" w:type="dxa"/>
            <w:gridSpan w:val="3"/>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“安管人员”未取得安全生产考核合格证书</w:t>
            </w:r>
          </w:p>
        </w:tc>
        <w:tc>
          <w:tcPr>
            <w:tcW w:w="1104" w:type="dxa"/>
            <w:gridSpan w:val="2"/>
            <w:tcBorders>
              <w:top w:val="nil"/>
              <w:left w:val="nil"/>
              <w:bottom w:val="single" w:color="000000" w:sz="8" w:space="0"/>
              <w:right w:val="single" w:color="auto" w:sz="8"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eastAsia="zh-CN"/>
              </w:rPr>
              <w:t>区住建局</w:t>
            </w:r>
          </w:p>
        </w:tc>
        <w:tc>
          <w:tcPr>
            <w:tcW w:w="200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尚未造成生产安全事故的</w:t>
            </w:r>
          </w:p>
        </w:tc>
        <w:tc>
          <w:tcPr>
            <w:tcW w:w="6301"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建筑施工企业主要负责人、项目负责人和专职安全生产管理人员安全生产管理规定》第三十条：建筑施工企业有下列行为之一的，由县级以上人民政府住房城乡建设主管部门责令限期改正；逾期未改正的，责令停业整顿，并处2万元以下的罚款；导致不具备《安全生产许可证条例》规定的安全生产条件的，应当依法暂扣或者吊销安全生产许可证：</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（四）“安管人员”未取得安全生产考核合格证书的。</w:t>
            </w:r>
          </w:p>
        </w:tc>
        <w:tc>
          <w:tcPr>
            <w:tcW w:w="952" w:type="dxa"/>
            <w:tcBorders>
              <w:top w:val="nil"/>
              <w:left w:val="nil"/>
              <w:bottom w:val="single" w:color="000000" w:sz="8" w:space="0"/>
              <w:right w:val="single" w:color="000000" w:sz="12" w:space="0"/>
            </w:tcBorders>
            <w:shd w:val="clear" w:color="auto" w:fill="auto"/>
            <w:tcMar>
              <w:top w:w="15" w:type="dxa"/>
              <w:left w:w="15" w:type="dxa"/>
              <w:bottom w:w="15" w:type="dxa"/>
              <w:right w:w="15" w:type="dxa"/>
            </w:tcMar>
            <w:vAlign w:val="center"/>
          </w:tcPr>
          <w:p>
            <w:pPr>
              <w:widowControl/>
              <w:jc w:val="center"/>
              <w:rPr>
                <w:rFonts w:hint="eastAsia" w:asciiTheme="minorEastAsia" w:hAnsiTheme="minorEastAsia" w:eastAsiaTheme="minorEastAsia" w:cstheme="minorEastAsia"/>
                <w:kern w:val="0"/>
                <w:sz w:val="21"/>
                <w:szCs w:val="21"/>
              </w:rPr>
            </w:pPr>
          </w:p>
        </w:tc>
      </w:tr>
      <w:tr>
        <w:tblPrEx>
          <w:tblCellMar>
            <w:top w:w="0" w:type="dxa"/>
            <w:left w:w="0" w:type="dxa"/>
            <w:bottom w:w="0" w:type="dxa"/>
            <w:right w:w="0" w:type="dxa"/>
          </w:tblCellMar>
        </w:tblPrEx>
        <w:trPr>
          <w:trHeight w:val="567" w:hRule="atLeast"/>
          <w:jc w:val="center"/>
        </w:trPr>
        <w:tc>
          <w:tcPr>
            <w:tcW w:w="1168" w:type="dxa"/>
            <w:tcBorders>
              <w:top w:val="nil"/>
              <w:left w:val="single" w:color="000000" w:sz="12" w:space="0"/>
              <w:bottom w:val="single" w:color="000000" w:sz="8" w:space="0"/>
              <w:right w:val="single" w:color="000000" w:sz="8" w:space="0"/>
            </w:tcBorders>
            <w:shd w:val="clear" w:color="auto" w:fill="auto"/>
            <w:tcMar>
              <w:top w:w="15" w:type="dxa"/>
              <w:left w:w="15" w:type="dxa"/>
              <w:bottom w:w="15" w:type="dxa"/>
              <w:right w:w="15" w:type="dxa"/>
            </w:tcMar>
            <w:vAlign w:val="center"/>
          </w:tcPr>
          <w:p>
            <w:pPr>
              <w:numPr>
                <w:ilvl w:val="0"/>
                <w:numId w:val="1"/>
              </w:numPr>
              <w:ind w:left="0" w:leftChars="0" w:firstLine="0" w:firstLineChars="0"/>
              <w:jc w:val="center"/>
              <w:rPr>
                <w:rFonts w:hint="eastAsia" w:ascii="宋体" w:hAnsi="宋体" w:eastAsia="宋体" w:cs="宋体"/>
                <w:lang w:val="en-US" w:eastAsia="zh-CN"/>
              </w:rPr>
            </w:pPr>
          </w:p>
        </w:tc>
        <w:tc>
          <w:tcPr>
            <w:tcW w:w="2881" w:type="dxa"/>
            <w:gridSpan w:val="3"/>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“安管人员”未按规定办理证书变更</w:t>
            </w:r>
          </w:p>
        </w:tc>
        <w:tc>
          <w:tcPr>
            <w:tcW w:w="1104" w:type="dxa"/>
            <w:gridSpan w:val="2"/>
            <w:tcBorders>
              <w:top w:val="nil"/>
              <w:left w:val="nil"/>
              <w:bottom w:val="single" w:color="000000" w:sz="8" w:space="0"/>
              <w:right w:val="single" w:color="auto" w:sz="8"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eastAsia="zh-CN"/>
              </w:rPr>
              <w:t>区住建局</w:t>
            </w:r>
          </w:p>
        </w:tc>
        <w:tc>
          <w:tcPr>
            <w:tcW w:w="200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尚未造成生产安全事故的</w:t>
            </w:r>
          </w:p>
        </w:tc>
        <w:tc>
          <w:tcPr>
            <w:tcW w:w="6301"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top"/>
          </w:tcPr>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建筑施工企业主要负责人、项目负责人和专职安全生产管理人员安全生产管理规定》第三十一条：“安管人员”未按规定办理证书变更的，由县级以上地方人民政府住房城乡建设主管部门责令限期改正，并处1000元以上5000元以下的罚款。</w:t>
            </w:r>
          </w:p>
        </w:tc>
        <w:tc>
          <w:tcPr>
            <w:tcW w:w="952" w:type="dxa"/>
            <w:tcBorders>
              <w:top w:val="nil"/>
              <w:left w:val="nil"/>
              <w:bottom w:val="single" w:color="000000" w:sz="8" w:space="0"/>
              <w:right w:val="single" w:color="000000" w:sz="12" w:space="0"/>
            </w:tcBorders>
            <w:shd w:val="clear" w:color="auto" w:fill="auto"/>
            <w:tcMar>
              <w:top w:w="15" w:type="dxa"/>
              <w:left w:w="15" w:type="dxa"/>
              <w:bottom w:w="15" w:type="dxa"/>
              <w:right w:w="15" w:type="dxa"/>
            </w:tcMar>
            <w:vAlign w:val="center"/>
          </w:tcPr>
          <w:p>
            <w:pPr>
              <w:widowControl/>
              <w:jc w:val="center"/>
              <w:rPr>
                <w:rFonts w:hint="eastAsia" w:asciiTheme="minorEastAsia" w:hAnsiTheme="minorEastAsia" w:eastAsiaTheme="minorEastAsia" w:cstheme="minorEastAsia"/>
                <w:kern w:val="0"/>
                <w:sz w:val="21"/>
                <w:szCs w:val="21"/>
              </w:rPr>
            </w:pPr>
          </w:p>
        </w:tc>
      </w:tr>
      <w:tr>
        <w:tblPrEx>
          <w:tblCellMar>
            <w:top w:w="0" w:type="dxa"/>
            <w:left w:w="0" w:type="dxa"/>
            <w:bottom w:w="0" w:type="dxa"/>
            <w:right w:w="0" w:type="dxa"/>
          </w:tblCellMar>
        </w:tblPrEx>
        <w:trPr>
          <w:trHeight w:val="567" w:hRule="atLeast"/>
          <w:jc w:val="center"/>
        </w:trPr>
        <w:tc>
          <w:tcPr>
            <w:tcW w:w="1168" w:type="dxa"/>
            <w:tcBorders>
              <w:top w:val="nil"/>
              <w:left w:val="single" w:color="000000" w:sz="12" w:space="0"/>
              <w:bottom w:val="single" w:color="000000" w:sz="8" w:space="0"/>
              <w:right w:val="single" w:color="000000" w:sz="8" w:space="0"/>
            </w:tcBorders>
            <w:shd w:val="clear" w:color="auto" w:fill="auto"/>
            <w:tcMar>
              <w:top w:w="15" w:type="dxa"/>
              <w:left w:w="15" w:type="dxa"/>
              <w:bottom w:w="15" w:type="dxa"/>
              <w:right w:w="15" w:type="dxa"/>
            </w:tcMar>
            <w:vAlign w:val="center"/>
          </w:tcPr>
          <w:p>
            <w:pPr>
              <w:numPr>
                <w:ilvl w:val="0"/>
                <w:numId w:val="1"/>
              </w:numPr>
              <w:ind w:left="0" w:leftChars="0" w:firstLine="0" w:firstLineChars="0"/>
              <w:jc w:val="center"/>
              <w:rPr>
                <w:rFonts w:hint="eastAsia" w:ascii="宋体" w:hAnsi="宋体" w:eastAsia="宋体" w:cs="宋体"/>
                <w:lang w:val="en-US" w:eastAsia="zh-CN"/>
              </w:rPr>
            </w:pPr>
          </w:p>
        </w:tc>
        <w:tc>
          <w:tcPr>
            <w:tcW w:w="2881" w:type="dxa"/>
            <w:gridSpan w:val="3"/>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主要负责人、项目负责人未按规定履行安全生产管理职责</w:t>
            </w:r>
          </w:p>
        </w:tc>
        <w:tc>
          <w:tcPr>
            <w:tcW w:w="1104" w:type="dxa"/>
            <w:gridSpan w:val="2"/>
            <w:tcBorders>
              <w:top w:val="nil"/>
              <w:left w:val="nil"/>
              <w:bottom w:val="single" w:color="000000" w:sz="8" w:space="0"/>
              <w:right w:val="single" w:color="auto" w:sz="8"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eastAsia="zh-CN"/>
              </w:rPr>
              <w:t>区住建局</w:t>
            </w:r>
          </w:p>
        </w:tc>
        <w:tc>
          <w:tcPr>
            <w:tcW w:w="200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未造成危害后果或造成轻微危害后果</w:t>
            </w:r>
          </w:p>
        </w:tc>
        <w:tc>
          <w:tcPr>
            <w:tcW w:w="6301"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top"/>
          </w:tcPr>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建筑施工企业主要负责人、项目负责人和专职安全生产管理人员安全生产管理规定》第三十二条：主要负责人、项目负责人未按规定履行安全生产管理职责的，由县级以上人民政府住房城乡建设主管部门责令限期改正；逾期未改正的，责令建筑施工企业停业整顿；造成生产安全事故或者其他严重后果的，按照《生产安全事故报告和调查处理条例》的有关规定，依法暂扣或者吊销安全生产考核合格证书；构成犯罪的，依法追究刑事责任。主要负责人、项目负责人有前款违法行为，尚不够刑事处罚的，处2万元以上20万元以下的罚款或者按照管理权限给予撤职处分；自刑罚执行完毕或者受处分之日起，5年内不得担任建筑施工企业的主要负责人、项目负责人。</w:t>
            </w:r>
          </w:p>
        </w:tc>
        <w:tc>
          <w:tcPr>
            <w:tcW w:w="952" w:type="dxa"/>
            <w:tcBorders>
              <w:top w:val="nil"/>
              <w:left w:val="nil"/>
              <w:bottom w:val="single" w:color="000000" w:sz="8" w:space="0"/>
              <w:right w:val="single" w:color="000000" w:sz="12" w:space="0"/>
            </w:tcBorders>
            <w:shd w:val="clear" w:color="auto" w:fill="auto"/>
            <w:tcMar>
              <w:top w:w="15" w:type="dxa"/>
              <w:left w:w="15" w:type="dxa"/>
              <w:bottom w:w="15" w:type="dxa"/>
              <w:right w:w="15" w:type="dxa"/>
            </w:tcMar>
            <w:vAlign w:val="center"/>
          </w:tcPr>
          <w:p>
            <w:pPr>
              <w:widowControl/>
              <w:jc w:val="center"/>
              <w:rPr>
                <w:rFonts w:hint="eastAsia" w:asciiTheme="minorEastAsia" w:hAnsiTheme="minorEastAsia" w:eastAsiaTheme="minorEastAsia" w:cstheme="minorEastAsia"/>
                <w:kern w:val="0"/>
                <w:sz w:val="21"/>
                <w:szCs w:val="21"/>
              </w:rPr>
            </w:pPr>
          </w:p>
        </w:tc>
      </w:tr>
      <w:tr>
        <w:tblPrEx>
          <w:tblCellMar>
            <w:top w:w="0" w:type="dxa"/>
            <w:left w:w="0" w:type="dxa"/>
            <w:bottom w:w="0" w:type="dxa"/>
            <w:right w:w="0" w:type="dxa"/>
          </w:tblCellMar>
        </w:tblPrEx>
        <w:trPr>
          <w:trHeight w:val="567" w:hRule="atLeast"/>
          <w:jc w:val="center"/>
        </w:trPr>
        <w:tc>
          <w:tcPr>
            <w:tcW w:w="1168" w:type="dxa"/>
            <w:tcBorders>
              <w:top w:val="nil"/>
              <w:left w:val="single" w:color="000000" w:sz="12" w:space="0"/>
              <w:bottom w:val="single" w:color="000000" w:sz="8" w:space="0"/>
              <w:right w:val="single" w:color="000000" w:sz="8" w:space="0"/>
            </w:tcBorders>
            <w:shd w:val="clear" w:color="auto" w:fill="auto"/>
            <w:tcMar>
              <w:top w:w="15" w:type="dxa"/>
              <w:left w:w="15" w:type="dxa"/>
              <w:bottom w:w="15" w:type="dxa"/>
              <w:right w:w="15" w:type="dxa"/>
            </w:tcMar>
            <w:vAlign w:val="center"/>
          </w:tcPr>
          <w:p>
            <w:pPr>
              <w:numPr>
                <w:ilvl w:val="0"/>
                <w:numId w:val="1"/>
              </w:numPr>
              <w:ind w:left="0" w:leftChars="0" w:firstLine="0" w:firstLineChars="0"/>
              <w:jc w:val="center"/>
              <w:rPr>
                <w:rFonts w:hint="eastAsia" w:ascii="宋体" w:hAnsi="宋体" w:eastAsia="宋体" w:cs="宋体"/>
                <w:lang w:val="en-US" w:eastAsia="zh-CN"/>
              </w:rPr>
            </w:pPr>
          </w:p>
        </w:tc>
        <w:tc>
          <w:tcPr>
            <w:tcW w:w="2881" w:type="dxa"/>
            <w:gridSpan w:val="3"/>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专职安全生产管理人员未按规定履行安全生产管理职责</w:t>
            </w:r>
          </w:p>
        </w:tc>
        <w:tc>
          <w:tcPr>
            <w:tcW w:w="1104" w:type="dxa"/>
            <w:gridSpan w:val="2"/>
            <w:tcBorders>
              <w:top w:val="nil"/>
              <w:left w:val="nil"/>
              <w:bottom w:val="single" w:color="000000" w:sz="8" w:space="0"/>
              <w:right w:val="single" w:color="auto" w:sz="8"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eastAsia="zh-CN"/>
              </w:rPr>
              <w:t>区住建局</w:t>
            </w:r>
          </w:p>
        </w:tc>
        <w:tc>
          <w:tcPr>
            <w:tcW w:w="200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未造成危害后果或造成轻微危害后果</w:t>
            </w:r>
          </w:p>
        </w:tc>
        <w:tc>
          <w:tcPr>
            <w:tcW w:w="6301"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top"/>
          </w:tcPr>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建筑施工企业主要负责人、项目负责人和专职安全生产管理人员安全生产管理规定》第三十三条：专职安全生产管理人员未按规定履行安全生产管理职责的，由县级以上地方人民政府住房城乡建设主管部门责令限期改正，并处1000元以上5000元以下的罚款；造成生产安全事故或者其他严重后果的，按照《生产安全事故报告和调查处理条例》的有关规定，依法暂扣或者吊销安全生产考核合格证书；构成犯罪的，依法追究刑事责任。</w:t>
            </w:r>
          </w:p>
        </w:tc>
        <w:tc>
          <w:tcPr>
            <w:tcW w:w="952" w:type="dxa"/>
            <w:tcBorders>
              <w:top w:val="nil"/>
              <w:left w:val="nil"/>
              <w:bottom w:val="single" w:color="000000" w:sz="8" w:space="0"/>
              <w:right w:val="single" w:color="000000" w:sz="12" w:space="0"/>
            </w:tcBorders>
            <w:shd w:val="clear" w:color="auto" w:fill="auto"/>
            <w:tcMar>
              <w:top w:w="15" w:type="dxa"/>
              <w:left w:w="15" w:type="dxa"/>
              <w:bottom w:w="15" w:type="dxa"/>
              <w:right w:w="15" w:type="dxa"/>
            </w:tcMar>
            <w:vAlign w:val="center"/>
          </w:tcPr>
          <w:p>
            <w:pPr>
              <w:widowControl/>
              <w:jc w:val="center"/>
              <w:rPr>
                <w:rFonts w:hint="eastAsia" w:asciiTheme="minorEastAsia" w:hAnsiTheme="minorEastAsia" w:eastAsiaTheme="minorEastAsia" w:cstheme="minorEastAsia"/>
                <w:kern w:val="0"/>
                <w:sz w:val="21"/>
                <w:szCs w:val="21"/>
              </w:rPr>
            </w:pPr>
          </w:p>
        </w:tc>
      </w:tr>
      <w:tr>
        <w:tblPrEx>
          <w:tblCellMar>
            <w:top w:w="0" w:type="dxa"/>
            <w:left w:w="0" w:type="dxa"/>
            <w:bottom w:w="0" w:type="dxa"/>
            <w:right w:w="0" w:type="dxa"/>
          </w:tblCellMar>
        </w:tblPrEx>
        <w:trPr>
          <w:trHeight w:val="567" w:hRule="atLeast"/>
          <w:jc w:val="center"/>
        </w:trPr>
        <w:tc>
          <w:tcPr>
            <w:tcW w:w="1168" w:type="dxa"/>
            <w:tcBorders>
              <w:top w:val="nil"/>
              <w:left w:val="single" w:color="000000" w:sz="12" w:space="0"/>
              <w:bottom w:val="single" w:color="000000" w:sz="8" w:space="0"/>
              <w:right w:val="single" w:color="000000" w:sz="8" w:space="0"/>
            </w:tcBorders>
            <w:shd w:val="clear" w:color="auto" w:fill="auto"/>
            <w:tcMar>
              <w:top w:w="15" w:type="dxa"/>
              <w:left w:w="15" w:type="dxa"/>
              <w:bottom w:w="15" w:type="dxa"/>
              <w:right w:w="15" w:type="dxa"/>
            </w:tcMar>
            <w:vAlign w:val="center"/>
          </w:tcPr>
          <w:p>
            <w:pPr>
              <w:numPr>
                <w:ilvl w:val="0"/>
                <w:numId w:val="1"/>
              </w:numPr>
              <w:ind w:left="0" w:leftChars="0" w:firstLine="0" w:firstLineChars="0"/>
              <w:jc w:val="center"/>
              <w:rPr>
                <w:rFonts w:hint="eastAsia" w:ascii="宋体" w:hAnsi="宋体" w:eastAsia="宋体" w:cs="宋体"/>
                <w:lang w:val="en-US" w:eastAsia="zh-CN"/>
              </w:rPr>
            </w:pPr>
          </w:p>
        </w:tc>
        <w:tc>
          <w:tcPr>
            <w:tcW w:w="2881" w:type="dxa"/>
            <w:gridSpan w:val="3"/>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建设单位在工程竣工验收合格之日起15日内未办理工程竣工验收备案的</w:t>
            </w:r>
          </w:p>
        </w:tc>
        <w:tc>
          <w:tcPr>
            <w:tcW w:w="1104" w:type="dxa"/>
            <w:gridSpan w:val="2"/>
            <w:tcBorders>
              <w:top w:val="nil"/>
              <w:left w:val="nil"/>
              <w:bottom w:val="single" w:color="000000" w:sz="8" w:space="0"/>
              <w:right w:val="single" w:color="auto" w:sz="8"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eastAsia="zh-CN"/>
              </w:rPr>
              <w:t>区住建局</w:t>
            </w:r>
          </w:p>
        </w:tc>
        <w:tc>
          <w:tcPr>
            <w:tcW w:w="200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未造成危害后果；或者造成轻微危害后果的</w:t>
            </w:r>
          </w:p>
        </w:tc>
        <w:tc>
          <w:tcPr>
            <w:tcW w:w="6301"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《房屋建筑和市政基础设施工程竣工验收备案管理办法》第九条：建设单位在工程竣工验收合格之日起15日内未办理工程竣工验收备案的，备案机关责令限期改正，处20万元以上50万元以下罚款。</w:t>
            </w:r>
          </w:p>
        </w:tc>
        <w:tc>
          <w:tcPr>
            <w:tcW w:w="952" w:type="dxa"/>
            <w:tcBorders>
              <w:top w:val="nil"/>
              <w:left w:val="nil"/>
              <w:bottom w:val="single" w:color="000000" w:sz="8" w:space="0"/>
              <w:right w:val="single" w:color="000000" w:sz="12" w:space="0"/>
            </w:tcBorders>
            <w:shd w:val="clear" w:color="auto" w:fill="auto"/>
            <w:tcMar>
              <w:top w:w="15" w:type="dxa"/>
              <w:left w:w="15" w:type="dxa"/>
              <w:bottom w:w="15" w:type="dxa"/>
              <w:right w:w="15" w:type="dxa"/>
            </w:tcMar>
            <w:vAlign w:val="center"/>
          </w:tcPr>
          <w:p>
            <w:pPr>
              <w:widowControl/>
              <w:jc w:val="center"/>
              <w:rPr>
                <w:rFonts w:hint="eastAsia" w:asciiTheme="minorEastAsia" w:hAnsiTheme="minorEastAsia" w:eastAsiaTheme="minorEastAsia" w:cstheme="minorEastAsia"/>
                <w:kern w:val="0"/>
                <w:sz w:val="21"/>
                <w:szCs w:val="21"/>
              </w:rPr>
            </w:pPr>
          </w:p>
        </w:tc>
      </w:tr>
      <w:tr>
        <w:tblPrEx>
          <w:tblCellMar>
            <w:top w:w="0" w:type="dxa"/>
            <w:left w:w="0" w:type="dxa"/>
            <w:bottom w:w="0" w:type="dxa"/>
            <w:right w:w="0" w:type="dxa"/>
          </w:tblCellMar>
        </w:tblPrEx>
        <w:trPr>
          <w:trHeight w:val="567" w:hRule="atLeast"/>
          <w:jc w:val="center"/>
        </w:trPr>
        <w:tc>
          <w:tcPr>
            <w:tcW w:w="1168" w:type="dxa"/>
            <w:tcBorders>
              <w:top w:val="nil"/>
              <w:left w:val="single" w:color="000000" w:sz="12" w:space="0"/>
              <w:bottom w:val="single" w:color="000000" w:sz="8" w:space="0"/>
              <w:right w:val="single" w:color="000000" w:sz="8" w:space="0"/>
            </w:tcBorders>
            <w:shd w:val="clear" w:color="auto" w:fill="auto"/>
            <w:tcMar>
              <w:top w:w="15" w:type="dxa"/>
              <w:left w:w="15" w:type="dxa"/>
              <w:bottom w:w="15" w:type="dxa"/>
              <w:right w:w="15" w:type="dxa"/>
            </w:tcMar>
            <w:vAlign w:val="center"/>
          </w:tcPr>
          <w:p>
            <w:pPr>
              <w:numPr>
                <w:ilvl w:val="0"/>
                <w:numId w:val="1"/>
              </w:numPr>
              <w:ind w:left="0" w:leftChars="0" w:firstLine="0" w:firstLineChars="0"/>
              <w:jc w:val="center"/>
              <w:rPr>
                <w:rFonts w:hint="eastAsia" w:ascii="宋体" w:hAnsi="宋体" w:eastAsia="宋体" w:cs="宋体"/>
                <w:lang w:val="en-US" w:eastAsia="zh-CN"/>
              </w:rPr>
            </w:pPr>
          </w:p>
        </w:tc>
        <w:tc>
          <w:tcPr>
            <w:tcW w:w="2881" w:type="dxa"/>
            <w:gridSpan w:val="3"/>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建设单位将备案机关决定重新组织竣工验收的工程，在重新组织竣工验收前，擅自使用的</w:t>
            </w:r>
          </w:p>
        </w:tc>
        <w:tc>
          <w:tcPr>
            <w:tcW w:w="1104" w:type="dxa"/>
            <w:gridSpan w:val="2"/>
            <w:tcBorders>
              <w:top w:val="nil"/>
              <w:left w:val="nil"/>
              <w:bottom w:val="single" w:color="000000" w:sz="8" w:space="0"/>
              <w:right w:val="single" w:color="auto" w:sz="8"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eastAsia="zh-CN"/>
              </w:rPr>
              <w:t>区住建局</w:t>
            </w:r>
          </w:p>
        </w:tc>
        <w:tc>
          <w:tcPr>
            <w:tcW w:w="200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在重新组织竣工验收前，擅自使用时间一个月以下的</w:t>
            </w:r>
          </w:p>
        </w:tc>
        <w:tc>
          <w:tcPr>
            <w:tcW w:w="6301"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房屋建筑和市政基础设施工程竣工验收备案管理办法》第十条：建设单位将备案机关决定重新组织竣工验收的工程，在重新组织竣工验收前，擅自使用的，备案机关责令停止使用，处工程合同价款2％以上4％以下罚款</w:t>
            </w:r>
          </w:p>
        </w:tc>
        <w:tc>
          <w:tcPr>
            <w:tcW w:w="952" w:type="dxa"/>
            <w:tcBorders>
              <w:top w:val="nil"/>
              <w:left w:val="nil"/>
              <w:bottom w:val="single" w:color="000000" w:sz="8" w:space="0"/>
              <w:right w:val="single" w:color="000000" w:sz="12" w:space="0"/>
            </w:tcBorders>
            <w:shd w:val="clear" w:color="auto" w:fill="auto"/>
            <w:tcMar>
              <w:top w:w="15" w:type="dxa"/>
              <w:left w:w="15" w:type="dxa"/>
              <w:bottom w:w="15" w:type="dxa"/>
              <w:right w:w="15" w:type="dxa"/>
            </w:tcMar>
            <w:vAlign w:val="center"/>
          </w:tcPr>
          <w:p>
            <w:pPr>
              <w:widowControl/>
              <w:jc w:val="center"/>
              <w:rPr>
                <w:rFonts w:hint="eastAsia" w:asciiTheme="minorEastAsia" w:hAnsiTheme="minorEastAsia" w:eastAsiaTheme="minorEastAsia" w:cstheme="minorEastAsia"/>
                <w:kern w:val="0"/>
                <w:sz w:val="21"/>
                <w:szCs w:val="21"/>
              </w:rPr>
            </w:pPr>
          </w:p>
        </w:tc>
      </w:tr>
      <w:tr>
        <w:tblPrEx>
          <w:tblCellMar>
            <w:top w:w="0" w:type="dxa"/>
            <w:left w:w="0" w:type="dxa"/>
            <w:bottom w:w="0" w:type="dxa"/>
            <w:right w:w="0" w:type="dxa"/>
          </w:tblCellMar>
        </w:tblPrEx>
        <w:trPr>
          <w:trHeight w:val="567" w:hRule="atLeast"/>
          <w:jc w:val="center"/>
        </w:trPr>
        <w:tc>
          <w:tcPr>
            <w:tcW w:w="1168" w:type="dxa"/>
            <w:tcBorders>
              <w:top w:val="nil"/>
              <w:left w:val="single" w:color="000000" w:sz="12" w:space="0"/>
              <w:bottom w:val="single" w:color="000000" w:sz="8" w:space="0"/>
              <w:right w:val="single" w:color="000000" w:sz="8" w:space="0"/>
            </w:tcBorders>
            <w:shd w:val="clear" w:color="auto" w:fill="auto"/>
            <w:tcMar>
              <w:top w:w="15" w:type="dxa"/>
              <w:left w:w="15" w:type="dxa"/>
              <w:bottom w:w="15" w:type="dxa"/>
              <w:right w:w="15" w:type="dxa"/>
            </w:tcMar>
            <w:vAlign w:val="center"/>
          </w:tcPr>
          <w:p>
            <w:pPr>
              <w:numPr>
                <w:ilvl w:val="0"/>
                <w:numId w:val="1"/>
              </w:numPr>
              <w:ind w:left="0" w:leftChars="0" w:firstLine="0" w:firstLineChars="0"/>
              <w:jc w:val="center"/>
              <w:rPr>
                <w:rFonts w:hint="eastAsia" w:ascii="宋体" w:hAnsi="宋体" w:eastAsia="宋体" w:cs="宋体"/>
                <w:lang w:val="en-US" w:eastAsia="zh-CN"/>
              </w:rPr>
            </w:pPr>
          </w:p>
        </w:tc>
        <w:tc>
          <w:tcPr>
            <w:tcW w:w="2881" w:type="dxa"/>
            <w:gridSpan w:val="3"/>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建设单位采用虚假证明文件办理工程竣工验收备案的</w:t>
            </w:r>
          </w:p>
        </w:tc>
        <w:tc>
          <w:tcPr>
            <w:tcW w:w="1104" w:type="dxa"/>
            <w:gridSpan w:val="2"/>
            <w:tcBorders>
              <w:top w:val="nil"/>
              <w:left w:val="nil"/>
              <w:bottom w:val="single" w:color="000000" w:sz="8" w:space="0"/>
              <w:right w:val="single" w:color="auto" w:sz="8"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eastAsia="zh-CN"/>
              </w:rPr>
              <w:t>区住建局</w:t>
            </w:r>
          </w:p>
        </w:tc>
        <w:tc>
          <w:tcPr>
            <w:tcW w:w="200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未造成危害后果或造成轻微危害后果的</w:t>
            </w:r>
          </w:p>
        </w:tc>
        <w:tc>
          <w:tcPr>
            <w:tcW w:w="6301"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房屋建筑和市政基础设施工程竣工验收备案管理办法》第十一条：建设单位采用虚假证明文件办理工程竣工验收备案的，工程竣工验收无效，备案机关责令停止使用，重新组织竣工验收，处20万元以上50万元以下罚款；构成犯罪的，依法追究刑事责任。</w:t>
            </w:r>
          </w:p>
        </w:tc>
        <w:tc>
          <w:tcPr>
            <w:tcW w:w="952" w:type="dxa"/>
            <w:tcBorders>
              <w:top w:val="nil"/>
              <w:left w:val="nil"/>
              <w:bottom w:val="single" w:color="000000" w:sz="8" w:space="0"/>
              <w:right w:val="single" w:color="000000" w:sz="12" w:space="0"/>
            </w:tcBorders>
            <w:shd w:val="clear" w:color="auto" w:fill="auto"/>
            <w:tcMar>
              <w:top w:w="15" w:type="dxa"/>
              <w:left w:w="15" w:type="dxa"/>
              <w:bottom w:w="15" w:type="dxa"/>
              <w:right w:w="15" w:type="dxa"/>
            </w:tcMar>
            <w:vAlign w:val="center"/>
          </w:tcPr>
          <w:p>
            <w:pPr>
              <w:widowControl/>
              <w:jc w:val="center"/>
              <w:rPr>
                <w:rFonts w:hint="eastAsia" w:asciiTheme="minorEastAsia" w:hAnsiTheme="minorEastAsia" w:eastAsiaTheme="minorEastAsia" w:cstheme="minorEastAsia"/>
                <w:kern w:val="0"/>
                <w:sz w:val="21"/>
                <w:szCs w:val="21"/>
              </w:rPr>
            </w:pPr>
          </w:p>
        </w:tc>
      </w:tr>
      <w:tr>
        <w:tblPrEx>
          <w:tblCellMar>
            <w:top w:w="0" w:type="dxa"/>
            <w:left w:w="0" w:type="dxa"/>
            <w:bottom w:w="0" w:type="dxa"/>
            <w:right w:w="0" w:type="dxa"/>
          </w:tblCellMar>
        </w:tblPrEx>
        <w:trPr>
          <w:trHeight w:val="567" w:hRule="atLeast"/>
          <w:jc w:val="center"/>
        </w:trPr>
        <w:tc>
          <w:tcPr>
            <w:tcW w:w="1168" w:type="dxa"/>
            <w:tcBorders>
              <w:top w:val="nil"/>
              <w:left w:val="single" w:color="000000" w:sz="12" w:space="0"/>
              <w:bottom w:val="single" w:color="000000" w:sz="8" w:space="0"/>
              <w:right w:val="single" w:color="000000" w:sz="8" w:space="0"/>
            </w:tcBorders>
            <w:shd w:val="clear" w:color="auto" w:fill="auto"/>
            <w:tcMar>
              <w:top w:w="15" w:type="dxa"/>
              <w:left w:w="15" w:type="dxa"/>
              <w:bottom w:w="15" w:type="dxa"/>
              <w:right w:w="15" w:type="dxa"/>
            </w:tcMar>
            <w:vAlign w:val="center"/>
          </w:tcPr>
          <w:p>
            <w:pPr>
              <w:numPr>
                <w:ilvl w:val="0"/>
                <w:numId w:val="1"/>
              </w:numPr>
              <w:ind w:left="0" w:leftChars="0" w:firstLine="0" w:firstLineChars="0"/>
              <w:jc w:val="center"/>
              <w:rPr>
                <w:rFonts w:hint="eastAsia" w:ascii="宋体" w:hAnsi="宋体" w:eastAsia="宋体" w:cs="宋体"/>
                <w:lang w:val="en-US" w:eastAsia="zh-CN"/>
              </w:rPr>
            </w:pPr>
          </w:p>
        </w:tc>
        <w:tc>
          <w:tcPr>
            <w:tcW w:w="2881" w:type="dxa"/>
            <w:gridSpan w:val="3"/>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未取得相应的资质，擅自承担本办法规定的检测业务</w:t>
            </w:r>
          </w:p>
        </w:tc>
        <w:tc>
          <w:tcPr>
            <w:tcW w:w="1104" w:type="dxa"/>
            <w:gridSpan w:val="2"/>
            <w:tcBorders>
              <w:top w:val="nil"/>
              <w:left w:val="nil"/>
              <w:bottom w:val="single" w:color="000000" w:sz="8" w:space="0"/>
              <w:right w:val="single" w:color="auto" w:sz="8"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eastAsia="zh-CN"/>
              </w:rPr>
              <w:t>区住建局</w:t>
            </w:r>
          </w:p>
        </w:tc>
        <w:tc>
          <w:tcPr>
            <w:tcW w:w="200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未造成危害后果或造成轻微、一般危害后果的</w:t>
            </w:r>
          </w:p>
        </w:tc>
        <w:tc>
          <w:tcPr>
            <w:tcW w:w="6301"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建设工程质量检测管理办法》第二十六条：违反本办法规定，未取得相应的资质，擅自承担本办法规定的检测业务的，其检测报告无效，由县级以上地方人民政府建设主管部门责令改正，并处1万元以上3万元以下的罚款。</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第三十二条：依照本办法规定，给予检测机构罚款处罚的，对检测机构的法定代表人和其他直接责任人员处罚款数额5％以上10％以下的罚款。</w:t>
            </w:r>
          </w:p>
        </w:tc>
        <w:tc>
          <w:tcPr>
            <w:tcW w:w="952" w:type="dxa"/>
            <w:tcBorders>
              <w:top w:val="nil"/>
              <w:left w:val="nil"/>
              <w:bottom w:val="single" w:color="000000" w:sz="8" w:space="0"/>
              <w:right w:val="single" w:color="000000" w:sz="12" w:space="0"/>
            </w:tcBorders>
            <w:shd w:val="clear" w:color="auto" w:fill="auto"/>
            <w:tcMar>
              <w:top w:w="15" w:type="dxa"/>
              <w:left w:w="15" w:type="dxa"/>
              <w:bottom w:w="15" w:type="dxa"/>
              <w:right w:w="15" w:type="dxa"/>
            </w:tcMar>
            <w:vAlign w:val="center"/>
          </w:tcPr>
          <w:p>
            <w:pPr>
              <w:widowControl/>
              <w:jc w:val="center"/>
              <w:rPr>
                <w:rFonts w:hint="eastAsia" w:asciiTheme="minorEastAsia" w:hAnsiTheme="minorEastAsia" w:eastAsiaTheme="minorEastAsia" w:cstheme="minorEastAsia"/>
                <w:kern w:val="0"/>
                <w:sz w:val="21"/>
                <w:szCs w:val="21"/>
              </w:rPr>
            </w:pPr>
          </w:p>
        </w:tc>
      </w:tr>
      <w:tr>
        <w:tblPrEx>
          <w:tblCellMar>
            <w:top w:w="0" w:type="dxa"/>
            <w:left w:w="0" w:type="dxa"/>
            <w:bottom w:w="0" w:type="dxa"/>
            <w:right w:w="0" w:type="dxa"/>
          </w:tblCellMar>
        </w:tblPrEx>
        <w:trPr>
          <w:trHeight w:val="567" w:hRule="atLeast"/>
          <w:jc w:val="center"/>
        </w:trPr>
        <w:tc>
          <w:tcPr>
            <w:tcW w:w="1168" w:type="dxa"/>
            <w:tcBorders>
              <w:top w:val="nil"/>
              <w:left w:val="single" w:color="000000" w:sz="12" w:space="0"/>
              <w:bottom w:val="single" w:color="000000" w:sz="8" w:space="0"/>
              <w:right w:val="single" w:color="000000" w:sz="8" w:space="0"/>
            </w:tcBorders>
            <w:shd w:val="clear" w:color="auto" w:fill="auto"/>
            <w:tcMar>
              <w:top w:w="15" w:type="dxa"/>
              <w:left w:w="15" w:type="dxa"/>
              <w:bottom w:w="15" w:type="dxa"/>
              <w:right w:w="15" w:type="dxa"/>
            </w:tcMar>
            <w:vAlign w:val="center"/>
          </w:tcPr>
          <w:p>
            <w:pPr>
              <w:numPr>
                <w:ilvl w:val="0"/>
                <w:numId w:val="1"/>
              </w:numPr>
              <w:ind w:left="0" w:leftChars="0" w:firstLine="0" w:firstLineChars="0"/>
              <w:jc w:val="center"/>
              <w:rPr>
                <w:rFonts w:hint="eastAsia" w:ascii="宋体" w:hAnsi="宋体" w:eastAsia="宋体" w:cs="宋体"/>
                <w:lang w:val="en-US" w:eastAsia="zh-CN"/>
              </w:rPr>
            </w:pPr>
          </w:p>
        </w:tc>
        <w:tc>
          <w:tcPr>
            <w:tcW w:w="2881" w:type="dxa"/>
            <w:gridSpan w:val="3"/>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以欺骗、贿赂等不正当手段取得资质证书</w:t>
            </w:r>
          </w:p>
        </w:tc>
        <w:tc>
          <w:tcPr>
            <w:tcW w:w="1104" w:type="dxa"/>
            <w:gridSpan w:val="2"/>
            <w:tcBorders>
              <w:top w:val="nil"/>
              <w:left w:val="nil"/>
              <w:bottom w:val="single" w:color="000000" w:sz="8" w:space="0"/>
              <w:right w:val="single" w:color="auto" w:sz="8"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eastAsia="zh-CN"/>
              </w:rPr>
              <w:t>区住建局</w:t>
            </w:r>
          </w:p>
        </w:tc>
        <w:tc>
          <w:tcPr>
            <w:tcW w:w="200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未造成危害后果或造成轻微、一般危害后果的</w:t>
            </w:r>
          </w:p>
        </w:tc>
        <w:tc>
          <w:tcPr>
            <w:tcW w:w="6301"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建设工程质量检测管理办法》第二十八条：以欺骗、贿赂等不正当手段取得资质证书的，由省、自治区、直辖市人民政府建设主管部门撤销其资质证书，3年内不得再次申请资质证书；并由县级以上地方人民政府建设主管部门处以1万元以上3万元以下的罚款；构成犯罪的，依法追究刑事责任。第三十二条：依照本办法规定，给予检测机构罚款处罚的，对检测机构的法定代表人和其他直接责任人员处罚款数额5％以上10％以下的罚款。</w:t>
            </w:r>
          </w:p>
        </w:tc>
        <w:tc>
          <w:tcPr>
            <w:tcW w:w="952" w:type="dxa"/>
            <w:tcBorders>
              <w:top w:val="nil"/>
              <w:left w:val="nil"/>
              <w:bottom w:val="single" w:color="000000" w:sz="8" w:space="0"/>
              <w:right w:val="single" w:color="000000" w:sz="12" w:space="0"/>
            </w:tcBorders>
            <w:shd w:val="clear" w:color="auto" w:fill="auto"/>
            <w:tcMar>
              <w:top w:w="15" w:type="dxa"/>
              <w:left w:w="15" w:type="dxa"/>
              <w:bottom w:w="15" w:type="dxa"/>
              <w:right w:w="15" w:type="dxa"/>
            </w:tcMar>
            <w:vAlign w:val="center"/>
          </w:tcPr>
          <w:p>
            <w:pPr>
              <w:widowControl/>
              <w:jc w:val="center"/>
              <w:rPr>
                <w:rFonts w:hint="eastAsia" w:asciiTheme="minorEastAsia" w:hAnsiTheme="minorEastAsia" w:eastAsiaTheme="minorEastAsia" w:cstheme="minorEastAsia"/>
                <w:kern w:val="0"/>
                <w:sz w:val="21"/>
                <w:szCs w:val="21"/>
              </w:rPr>
            </w:pPr>
          </w:p>
        </w:tc>
      </w:tr>
      <w:tr>
        <w:tblPrEx>
          <w:tblCellMar>
            <w:top w:w="0" w:type="dxa"/>
            <w:left w:w="0" w:type="dxa"/>
            <w:bottom w:w="0" w:type="dxa"/>
            <w:right w:w="0" w:type="dxa"/>
          </w:tblCellMar>
        </w:tblPrEx>
        <w:trPr>
          <w:trHeight w:val="567" w:hRule="atLeast"/>
          <w:jc w:val="center"/>
        </w:trPr>
        <w:tc>
          <w:tcPr>
            <w:tcW w:w="1168" w:type="dxa"/>
            <w:tcBorders>
              <w:top w:val="nil"/>
              <w:left w:val="single" w:color="000000" w:sz="12" w:space="0"/>
              <w:bottom w:val="single" w:color="000000" w:sz="8" w:space="0"/>
              <w:right w:val="single" w:color="000000" w:sz="8" w:space="0"/>
            </w:tcBorders>
            <w:shd w:val="clear" w:color="auto" w:fill="auto"/>
            <w:tcMar>
              <w:top w:w="15" w:type="dxa"/>
              <w:left w:w="15" w:type="dxa"/>
              <w:bottom w:w="15" w:type="dxa"/>
              <w:right w:w="15" w:type="dxa"/>
            </w:tcMar>
            <w:vAlign w:val="center"/>
          </w:tcPr>
          <w:p>
            <w:pPr>
              <w:numPr>
                <w:ilvl w:val="0"/>
                <w:numId w:val="1"/>
              </w:numPr>
              <w:ind w:left="0" w:leftChars="0" w:firstLine="0" w:firstLineChars="0"/>
              <w:jc w:val="center"/>
              <w:rPr>
                <w:rFonts w:hint="eastAsia" w:ascii="宋体" w:hAnsi="宋体" w:eastAsia="宋体" w:cs="宋体"/>
                <w:lang w:val="en-US" w:eastAsia="zh-CN"/>
              </w:rPr>
            </w:pPr>
          </w:p>
        </w:tc>
        <w:tc>
          <w:tcPr>
            <w:tcW w:w="2881" w:type="dxa"/>
            <w:gridSpan w:val="3"/>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超出资质范围从事检测活动</w:t>
            </w:r>
          </w:p>
        </w:tc>
        <w:tc>
          <w:tcPr>
            <w:tcW w:w="1104" w:type="dxa"/>
            <w:gridSpan w:val="2"/>
            <w:tcBorders>
              <w:top w:val="nil"/>
              <w:left w:val="nil"/>
              <w:bottom w:val="single" w:color="000000" w:sz="8" w:space="0"/>
              <w:right w:val="single" w:color="auto" w:sz="8"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eastAsia="zh-CN"/>
              </w:rPr>
              <w:t>区住建局</w:t>
            </w:r>
          </w:p>
        </w:tc>
        <w:tc>
          <w:tcPr>
            <w:tcW w:w="200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未造成危害后果或造成轻微、一般危害后果的</w:t>
            </w:r>
          </w:p>
        </w:tc>
        <w:tc>
          <w:tcPr>
            <w:tcW w:w="6301"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建设工程质量检测管理办法》第二十九条：检测机构违反本办法规定，有下列行为之一的，由县级以上地方人民政府建设主管部门责令改正，可并处1万元以上3万元以下的罚款；构成犯罪的，依法追究刑事责任：</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（一）超出资质范围从事检测活动的；第三十二条：依照本办法规定，给予检测机构罚款处罚的，对检测机构的法定代表人和其他直接责任人员处罚款数额5％以上10％以下的罚款。</w:t>
            </w:r>
          </w:p>
        </w:tc>
        <w:tc>
          <w:tcPr>
            <w:tcW w:w="952" w:type="dxa"/>
            <w:tcBorders>
              <w:top w:val="nil"/>
              <w:left w:val="nil"/>
              <w:bottom w:val="single" w:color="000000" w:sz="8" w:space="0"/>
              <w:right w:val="single" w:color="000000" w:sz="12" w:space="0"/>
            </w:tcBorders>
            <w:shd w:val="clear" w:color="auto" w:fill="auto"/>
            <w:tcMar>
              <w:top w:w="15" w:type="dxa"/>
              <w:left w:w="15" w:type="dxa"/>
              <w:bottom w:w="15" w:type="dxa"/>
              <w:right w:w="15" w:type="dxa"/>
            </w:tcMar>
            <w:vAlign w:val="center"/>
          </w:tcPr>
          <w:p>
            <w:pPr>
              <w:widowControl/>
              <w:jc w:val="center"/>
              <w:rPr>
                <w:rFonts w:hint="eastAsia" w:asciiTheme="minorEastAsia" w:hAnsiTheme="minorEastAsia" w:eastAsiaTheme="minorEastAsia" w:cstheme="minorEastAsia"/>
                <w:kern w:val="0"/>
                <w:sz w:val="21"/>
                <w:szCs w:val="21"/>
              </w:rPr>
            </w:pPr>
          </w:p>
        </w:tc>
      </w:tr>
      <w:tr>
        <w:tblPrEx>
          <w:tblCellMar>
            <w:top w:w="0" w:type="dxa"/>
            <w:left w:w="0" w:type="dxa"/>
            <w:bottom w:w="0" w:type="dxa"/>
            <w:right w:w="0" w:type="dxa"/>
          </w:tblCellMar>
        </w:tblPrEx>
        <w:trPr>
          <w:trHeight w:val="567" w:hRule="atLeast"/>
          <w:jc w:val="center"/>
        </w:trPr>
        <w:tc>
          <w:tcPr>
            <w:tcW w:w="1168" w:type="dxa"/>
            <w:tcBorders>
              <w:top w:val="nil"/>
              <w:left w:val="single" w:color="000000" w:sz="12" w:space="0"/>
              <w:bottom w:val="single" w:color="000000" w:sz="8" w:space="0"/>
              <w:right w:val="single" w:color="000000" w:sz="8" w:space="0"/>
            </w:tcBorders>
            <w:shd w:val="clear" w:color="auto" w:fill="auto"/>
            <w:tcMar>
              <w:top w:w="15" w:type="dxa"/>
              <w:left w:w="15" w:type="dxa"/>
              <w:bottom w:w="15" w:type="dxa"/>
              <w:right w:w="15" w:type="dxa"/>
            </w:tcMar>
            <w:vAlign w:val="center"/>
          </w:tcPr>
          <w:p>
            <w:pPr>
              <w:numPr>
                <w:ilvl w:val="0"/>
                <w:numId w:val="1"/>
              </w:numPr>
              <w:ind w:left="0" w:leftChars="0" w:firstLine="0" w:firstLineChars="0"/>
              <w:jc w:val="center"/>
              <w:rPr>
                <w:rFonts w:hint="eastAsia" w:ascii="宋体" w:hAnsi="宋体" w:eastAsia="宋体" w:cs="宋体"/>
                <w:lang w:val="en-US" w:eastAsia="zh-CN"/>
              </w:rPr>
            </w:pPr>
          </w:p>
        </w:tc>
        <w:tc>
          <w:tcPr>
            <w:tcW w:w="2881" w:type="dxa"/>
            <w:gridSpan w:val="3"/>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涂改、倒卖、出租、出借、转让资质证书</w:t>
            </w:r>
          </w:p>
        </w:tc>
        <w:tc>
          <w:tcPr>
            <w:tcW w:w="1104" w:type="dxa"/>
            <w:gridSpan w:val="2"/>
            <w:tcBorders>
              <w:top w:val="nil"/>
              <w:left w:val="nil"/>
              <w:bottom w:val="single" w:color="000000" w:sz="8" w:space="0"/>
              <w:right w:val="single" w:color="auto" w:sz="8"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eastAsia="zh-CN"/>
              </w:rPr>
              <w:t>区住建局</w:t>
            </w:r>
          </w:p>
        </w:tc>
        <w:tc>
          <w:tcPr>
            <w:tcW w:w="200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未造成危害后果或造成轻微、一般危害后果的</w:t>
            </w:r>
          </w:p>
        </w:tc>
        <w:tc>
          <w:tcPr>
            <w:tcW w:w="6301"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建设工程质量检测管理办法》第二十九条：检测机构违反本办法规定，有下列行为之一的，由县级以上地方人民政府建设主管部门责令改正，可并处1万元以上3万元以下的罚款；构成犯罪的，依法追究刑事责任：（二）涂改、倒卖、出租、出借、转让资质证书的；第三十二条：依照本办法规定，给予检测机构罚款处罚的，对检测机构的法定代表人和其他直接责任人员处罚款数额5％以上10％以下的罚款。</w:t>
            </w:r>
          </w:p>
        </w:tc>
        <w:tc>
          <w:tcPr>
            <w:tcW w:w="952" w:type="dxa"/>
            <w:tcBorders>
              <w:top w:val="nil"/>
              <w:left w:val="nil"/>
              <w:bottom w:val="single" w:color="000000" w:sz="8" w:space="0"/>
              <w:right w:val="single" w:color="000000" w:sz="12" w:space="0"/>
            </w:tcBorders>
            <w:shd w:val="clear" w:color="auto" w:fill="auto"/>
            <w:tcMar>
              <w:top w:w="15" w:type="dxa"/>
              <w:left w:w="15" w:type="dxa"/>
              <w:bottom w:w="15" w:type="dxa"/>
              <w:right w:w="15" w:type="dxa"/>
            </w:tcMar>
            <w:vAlign w:val="center"/>
          </w:tcPr>
          <w:p>
            <w:pPr>
              <w:widowControl/>
              <w:jc w:val="center"/>
              <w:rPr>
                <w:rFonts w:hint="eastAsia" w:asciiTheme="minorEastAsia" w:hAnsiTheme="minorEastAsia" w:eastAsiaTheme="minorEastAsia" w:cstheme="minorEastAsia"/>
                <w:kern w:val="0"/>
                <w:sz w:val="21"/>
                <w:szCs w:val="21"/>
              </w:rPr>
            </w:pPr>
          </w:p>
        </w:tc>
      </w:tr>
      <w:tr>
        <w:tblPrEx>
          <w:tblCellMar>
            <w:top w:w="0" w:type="dxa"/>
            <w:left w:w="0" w:type="dxa"/>
            <w:bottom w:w="0" w:type="dxa"/>
            <w:right w:w="0" w:type="dxa"/>
          </w:tblCellMar>
        </w:tblPrEx>
        <w:trPr>
          <w:trHeight w:val="567" w:hRule="atLeast"/>
          <w:jc w:val="center"/>
        </w:trPr>
        <w:tc>
          <w:tcPr>
            <w:tcW w:w="1168" w:type="dxa"/>
            <w:tcBorders>
              <w:top w:val="nil"/>
              <w:left w:val="single" w:color="000000" w:sz="12" w:space="0"/>
              <w:bottom w:val="single" w:color="000000" w:sz="8" w:space="0"/>
              <w:right w:val="single" w:color="000000" w:sz="8" w:space="0"/>
            </w:tcBorders>
            <w:shd w:val="clear" w:color="auto" w:fill="auto"/>
            <w:tcMar>
              <w:top w:w="15" w:type="dxa"/>
              <w:left w:w="15" w:type="dxa"/>
              <w:bottom w:w="15" w:type="dxa"/>
              <w:right w:w="15" w:type="dxa"/>
            </w:tcMar>
            <w:vAlign w:val="center"/>
          </w:tcPr>
          <w:p>
            <w:pPr>
              <w:numPr>
                <w:ilvl w:val="0"/>
                <w:numId w:val="1"/>
              </w:numPr>
              <w:ind w:left="0" w:leftChars="0" w:firstLine="0" w:firstLineChars="0"/>
              <w:jc w:val="center"/>
              <w:rPr>
                <w:rFonts w:hint="eastAsia" w:ascii="宋体" w:hAnsi="宋体" w:eastAsia="宋体" w:cs="宋体"/>
                <w:lang w:val="en-US" w:eastAsia="zh-CN"/>
              </w:rPr>
            </w:pPr>
          </w:p>
        </w:tc>
        <w:tc>
          <w:tcPr>
            <w:tcW w:w="2881" w:type="dxa"/>
            <w:gridSpan w:val="3"/>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使用不符合条件的检测人员</w:t>
            </w:r>
          </w:p>
        </w:tc>
        <w:tc>
          <w:tcPr>
            <w:tcW w:w="1104" w:type="dxa"/>
            <w:gridSpan w:val="2"/>
            <w:tcBorders>
              <w:top w:val="nil"/>
              <w:left w:val="nil"/>
              <w:bottom w:val="single" w:color="000000" w:sz="8" w:space="0"/>
              <w:right w:val="single" w:color="auto" w:sz="8"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eastAsia="zh-CN"/>
              </w:rPr>
              <w:t>区住建局</w:t>
            </w:r>
          </w:p>
        </w:tc>
        <w:tc>
          <w:tcPr>
            <w:tcW w:w="200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不符合条件的检测人员5人以下的</w:t>
            </w:r>
          </w:p>
        </w:tc>
        <w:tc>
          <w:tcPr>
            <w:tcW w:w="6301"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建设工程质量检测管理办法》第二十九条：检测机构违反本办法规定，有下列行为之一的，由县级以上地方人民政府建设主管部门责令改正，可并处1万元以上3万元以下的罚款；构成犯罪的，依法追究刑事责任：　</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（三）使用不符合条件的检测人员的；第三十二条：依照本办法规定，给予检测机构罚款处罚的，对检测机构的法定代表人和其他直接责任人员处罚款数额5％以上10％以下的罚款。</w:t>
            </w:r>
          </w:p>
        </w:tc>
        <w:tc>
          <w:tcPr>
            <w:tcW w:w="952" w:type="dxa"/>
            <w:tcBorders>
              <w:top w:val="nil"/>
              <w:left w:val="nil"/>
              <w:bottom w:val="single" w:color="000000" w:sz="8" w:space="0"/>
              <w:right w:val="single" w:color="000000" w:sz="12" w:space="0"/>
            </w:tcBorders>
            <w:shd w:val="clear" w:color="auto" w:fill="auto"/>
            <w:tcMar>
              <w:top w:w="15" w:type="dxa"/>
              <w:left w:w="15" w:type="dxa"/>
              <w:bottom w:w="15" w:type="dxa"/>
              <w:right w:w="15" w:type="dxa"/>
            </w:tcMar>
            <w:vAlign w:val="center"/>
          </w:tcPr>
          <w:p>
            <w:pPr>
              <w:widowControl/>
              <w:jc w:val="center"/>
              <w:rPr>
                <w:rFonts w:hint="eastAsia" w:asciiTheme="minorEastAsia" w:hAnsiTheme="minorEastAsia" w:eastAsiaTheme="minorEastAsia" w:cstheme="minorEastAsia"/>
                <w:kern w:val="0"/>
                <w:sz w:val="21"/>
                <w:szCs w:val="21"/>
              </w:rPr>
            </w:pPr>
          </w:p>
        </w:tc>
      </w:tr>
      <w:tr>
        <w:tblPrEx>
          <w:tblCellMar>
            <w:top w:w="0" w:type="dxa"/>
            <w:left w:w="0" w:type="dxa"/>
            <w:bottom w:w="0" w:type="dxa"/>
            <w:right w:w="0" w:type="dxa"/>
          </w:tblCellMar>
        </w:tblPrEx>
        <w:trPr>
          <w:trHeight w:val="567" w:hRule="atLeast"/>
          <w:jc w:val="center"/>
        </w:trPr>
        <w:tc>
          <w:tcPr>
            <w:tcW w:w="1168" w:type="dxa"/>
            <w:tcBorders>
              <w:top w:val="nil"/>
              <w:left w:val="single" w:color="000000" w:sz="12" w:space="0"/>
              <w:bottom w:val="single" w:color="000000" w:sz="8" w:space="0"/>
              <w:right w:val="single" w:color="000000" w:sz="8" w:space="0"/>
            </w:tcBorders>
            <w:shd w:val="clear" w:color="auto" w:fill="auto"/>
            <w:tcMar>
              <w:top w:w="15" w:type="dxa"/>
              <w:left w:w="15" w:type="dxa"/>
              <w:bottom w:w="15" w:type="dxa"/>
              <w:right w:w="15" w:type="dxa"/>
            </w:tcMar>
            <w:vAlign w:val="center"/>
          </w:tcPr>
          <w:p>
            <w:pPr>
              <w:numPr>
                <w:ilvl w:val="0"/>
                <w:numId w:val="1"/>
              </w:numPr>
              <w:ind w:left="0" w:leftChars="0" w:firstLine="0" w:firstLineChars="0"/>
              <w:jc w:val="center"/>
              <w:rPr>
                <w:rFonts w:hint="eastAsia" w:ascii="宋体" w:hAnsi="宋体" w:eastAsia="宋体" w:cs="宋体"/>
                <w:lang w:val="en-US" w:eastAsia="zh-CN"/>
              </w:rPr>
            </w:pPr>
          </w:p>
        </w:tc>
        <w:tc>
          <w:tcPr>
            <w:tcW w:w="2881" w:type="dxa"/>
            <w:gridSpan w:val="3"/>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未按规定上报发现的违法违规行为和检测不合格事项</w:t>
            </w:r>
          </w:p>
        </w:tc>
        <w:tc>
          <w:tcPr>
            <w:tcW w:w="1104" w:type="dxa"/>
            <w:gridSpan w:val="2"/>
            <w:tcBorders>
              <w:top w:val="nil"/>
              <w:left w:val="nil"/>
              <w:bottom w:val="single" w:color="000000" w:sz="8" w:space="0"/>
              <w:right w:val="single" w:color="auto" w:sz="8"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eastAsia="zh-CN"/>
              </w:rPr>
              <w:t>区住建局</w:t>
            </w:r>
          </w:p>
        </w:tc>
        <w:tc>
          <w:tcPr>
            <w:tcW w:w="200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未造成危害后果或造成轻微危害后果的</w:t>
            </w:r>
          </w:p>
        </w:tc>
        <w:tc>
          <w:tcPr>
            <w:tcW w:w="6301"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建设工程质量检测管理办法》第二十九条：检测机构违反本办法规定，有下列行为之一的，由县级以上地方人民政府建设主管部门责令改正，可并处1万元以上3万元以下的罚款；构成犯罪的，依法追究刑事责任：</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（四）未按规定上报发现的违法违规行为和检测不合格事项的；第三十二条：依照本办法规定，给予检测机构罚款处罚的，对检测机构的法定代表人和其他直接责任人员处罚款数额5％以上10％以下的罚款。</w:t>
            </w:r>
          </w:p>
        </w:tc>
        <w:tc>
          <w:tcPr>
            <w:tcW w:w="952" w:type="dxa"/>
            <w:tcBorders>
              <w:top w:val="nil"/>
              <w:left w:val="nil"/>
              <w:bottom w:val="single" w:color="000000" w:sz="8" w:space="0"/>
              <w:right w:val="single" w:color="000000" w:sz="12" w:space="0"/>
            </w:tcBorders>
            <w:shd w:val="clear" w:color="auto" w:fill="auto"/>
            <w:tcMar>
              <w:top w:w="15" w:type="dxa"/>
              <w:left w:w="15" w:type="dxa"/>
              <w:bottom w:w="15" w:type="dxa"/>
              <w:right w:w="15" w:type="dxa"/>
            </w:tcMar>
            <w:vAlign w:val="center"/>
          </w:tcPr>
          <w:p>
            <w:pPr>
              <w:widowControl/>
              <w:jc w:val="center"/>
              <w:rPr>
                <w:rFonts w:hint="eastAsia" w:asciiTheme="minorEastAsia" w:hAnsiTheme="minorEastAsia" w:eastAsiaTheme="minorEastAsia" w:cstheme="minorEastAsia"/>
                <w:kern w:val="0"/>
                <w:sz w:val="21"/>
                <w:szCs w:val="21"/>
              </w:rPr>
            </w:pPr>
          </w:p>
        </w:tc>
      </w:tr>
      <w:tr>
        <w:tblPrEx>
          <w:tblCellMar>
            <w:top w:w="0" w:type="dxa"/>
            <w:left w:w="0" w:type="dxa"/>
            <w:bottom w:w="0" w:type="dxa"/>
            <w:right w:w="0" w:type="dxa"/>
          </w:tblCellMar>
        </w:tblPrEx>
        <w:trPr>
          <w:trHeight w:val="567" w:hRule="atLeast"/>
          <w:jc w:val="center"/>
        </w:trPr>
        <w:tc>
          <w:tcPr>
            <w:tcW w:w="1168" w:type="dxa"/>
            <w:tcBorders>
              <w:top w:val="nil"/>
              <w:left w:val="single" w:color="000000" w:sz="12" w:space="0"/>
              <w:bottom w:val="single" w:color="000000" w:sz="8" w:space="0"/>
              <w:right w:val="single" w:color="000000" w:sz="8" w:space="0"/>
            </w:tcBorders>
            <w:shd w:val="clear" w:color="auto" w:fill="auto"/>
            <w:tcMar>
              <w:top w:w="15" w:type="dxa"/>
              <w:left w:w="15" w:type="dxa"/>
              <w:bottom w:w="15" w:type="dxa"/>
              <w:right w:w="15" w:type="dxa"/>
            </w:tcMar>
            <w:vAlign w:val="center"/>
          </w:tcPr>
          <w:p>
            <w:pPr>
              <w:numPr>
                <w:ilvl w:val="0"/>
                <w:numId w:val="1"/>
              </w:numPr>
              <w:ind w:left="0" w:leftChars="0" w:firstLine="0" w:firstLineChars="0"/>
              <w:jc w:val="center"/>
              <w:rPr>
                <w:rFonts w:hint="eastAsia" w:ascii="宋体" w:hAnsi="宋体" w:eastAsia="宋体" w:cs="宋体"/>
                <w:lang w:val="en-US" w:eastAsia="zh-CN"/>
              </w:rPr>
            </w:pPr>
          </w:p>
        </w:tc>
        <w:tc>
          <w:tcPr>
            <w:tcW w:w="2881" w:type="dxa"/>
            <w:gridSpan w:val="3"/>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未按规定在检测报告上签字盖章</w:t>
            </w:r>
          </w:p>
        </w:tc>
        <w:tc>
          <w:tcPr>
            <w:tcW w:w="1104" w:type="dxa"/>
            <w:gridSpan w:val="2"/>
            <w:tcBorders>
              <w:top w:val="nil"/>
              <w:left w:val="nil"/>
              <w:bottom w:val="single" w:color="000000" w:sz="8" w:space="0"/>
              <w:right w:val="single" w:color="auto" w:sz="8"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eastAsia="zh-CN"/>
              </w:rPr>
              <w:t>区住建局</w:t>
            </w:r>
          </w:p>
        </w:tc>
        <w:tc>
          <w:tcPr>
            <w:tcW w:w="200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未造成危害后果或造成轻微、一般危害后果的</w:t>
            </w:r>
          </w:p>
        </w:tc>
        <w:tc>
          <w:tcPr>
            <w:tcW w:w="6301"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建设工程质量检测管理办法》第二十九条：检测机构违反本办法规定，有下列行为之一的，由县级以上地方人民政府建设主管部门责令改正，可并处1万元以上3万元以下的罚款；构成犯罪的，依法追究刑事责任：</w:t>
            </w:r>
          </w:p>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（五）未按规定在检测报告上签字盖章的；第三十二条：依照本办法规定，给予检测机构罚款处罚的，对检测机构的法定代表人和其他直接责任人员处罚款数额5％以上10％以下的罚款。</w:t>
            </w:r>
          </w:p>
        </w:tc>
        <w:tc>
          <w:tcPr>
            <w:tcW w:w="952" w:type="dxa"/>
            <w:tcBorders>
              <w:top w:val="nil"/>
              <w:left w:val="nil"/>
              <w:bottom w:val="single" w:color="000000" w:sz="8" w:space="0"/>
              <w:right w:val="single" w:color="000000" w:sz="12" w:space="0"/>
            </w:tcBorders>
            <w:shd w:val="clear" w:color="auto" w:fill="auto"/>
            <w:tcMar>
              <w:top w:w="15" w:type="dxa"/>
              <w:left w:w="15" w:type="dxa"/>
              <w:bottom w:w="15" w:type="dxa"/>
              <w:right w:w="15" w:type="dxa"/>
            </w:tcMar>
            <w:vAlign w:val="center"/>
          </w:tcPr>
          <w:p>
            <w:pPr>
              <w:widowControl/>
              <w:jc w:val="center"/>
              <w:rPr>
                <w:rFonts w:hint="eastAsia" w:asciiTheme="minorEastAsia" w:hAnsiTheme="minorEastAsia" w:eastAsiaTheme="minorEastAsia" w:cstheme="minorEastAsia"/>
                <w:kern w:val="0"/>
                <w:sz w:val="21"/>
                <w:szCs w:val="21"/>
              </w:rPr>
            </w:pPr>
          </w:p>
        </w:tc>
      </w:tr>
      <w:tr>
        <w:tblPrEx>
          <w:tblCellMar>
            <w:top w:w="0" w:type="dxa"/>
            <w:left w:w="0" w:type="dxa"/>
            <w:bottom w:w="0" w:type="dxa"/>
            <w:right w:w="0" w:type="dxa"/>
          </w:tblCellMar>
        </w:tblPrEx>
        <w:trPr>
          <w:trHeight w:val="567" w:hRule="atLeast"/>
          <w:jc w:val="center"/>
        </w:trPr>
        <w:tc>
          <w:tcPr>
            <w:tcW w:w="1168" w:type="dxa"/>
            <w:tcBorders>
              <w:top w:val="nil"/>
              <w:left w:val="single" w:color="000000" w:sz="12" w:space="0"/>
              <w:bottom w:val="single" w:color="000000" w:sz="8" w:space="0"/>
              <w:right w:val="single" w:color="000000" w:sz="8" w:space="0"/>
            </w:tcBorders>
            <w:shd w:val="clear" w:color="auto" w:fill="auto"/>
            <w:tcMar>
              <w:top w:w="15" w:type="dxa"/>
              <w:left w:w="15" w:type="dxa"/>
              <w:bottom w:w="15" w:type="dxa"/>
              <w:right w:w="15" w:type="dxa"/>
            </w:tcMar>
            <w:vAlign w:val="center"/>
          </w:tcPr>
          <w:p>
            <w:pPr>
              <w:numPr>
                <w:ilvl w:val="0"/>
                <w:numId w:val="1"/>
              </w:numPr>
              <w:ind w:left="0" w:leftChars="0" w:firstLine="0" w:firstLineChars="0"/>
              <w:jc w:val="center"/>
              <w:rPr>
                <w:rFonts w:hint="eastAsia" w:ascii="宋体" w:hAnsi="宋体" w:eastAsia="宋体" w:cs="宋体"/>
                <w:lang w:val="en-US" w:eastAsia="zh-CN"/>
              </w:rPr>
            </w:pPr>
          </w:p>
        </w:tc>
        <w:tc>
          <w:tcPr>
            <w:tcW w:w="2881" w:type="dxa"/>
            <w:gridSpan w:val="3"/>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未按照国家有关工程建设强制性标准进行检测</w:t>
            </w:r>
          </w:p>
        </w:tc>
        <w:tc>
          <w:tcPr>
            <w:tcW w:w="1104" w:type="dxa"/>
            <w:gridSpan w:val="2"/>
            <w:tcBorders>
              <w:top w:val="nil"/>
              <w:left w:val="nil"/>
              <w:bottom w:val="single" w:color="000000" w:sz="8" w:space="0"/>
              <w:right w:val="single" w:color="auto" w:sz="8"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eastAsia="zh-CN"/>
              </w:rPr>
              <w:t>区住建局</w:t>
            </w:r>
          </w:p>
        </w:tc>
        <w:tc>
          <w:tcPr>
            <w:tcW w:w="200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违反工程建设强制性标准3条以下；或造成一般危害后果的</w:t>
            </w:r>
          </w:p>
        </w:tc>
        <w:tc>
          <w:tcPr>
            <w:tcW w:w="6301"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建设工程质量检测管理办法》第二十九条：检测机构违反本办法规定，有下列行为之一的，由县级以上地方人民政府建设主管部门责令改正，可并处1万元以上3万元以下的罚款；构成犯罪的，依法追究刑事责任：</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（六）未按照国家有关工程建设强制性标准进行检测的；第三十二条：依照本办法规定，给予检测机构罚款处罚的，对检测机构的法定代表人和其他直接责任人员处罚款数额5％以上10％以下的罚款。　</w:t>
            </w:r>
          </w:p>
        </w:tc>
        <w:tc>
          <w:tcPr>
            <w:tcW w:w="952" w:type="dxa"/>
            <w:tcBorders>
              <w:top w:val="nil"/>
              <w:left w:val="nil"/>
              <w:bottom w:val="single" w:color="000000" w:sz="8" w:space="0"/>
              <w:right w:val="single" w:color="000000" w:sz="12" w:space="0"/>
            </w:tcBorders>
            <w:shd w:val="clear" w:color="auto" w:fill="auto"/>
            <w:tcMar>
              <w:top w:w="15" w:type="dxa"/>
              <w:left w:w="15" w:type="dxa"/>
              <w:bottom w:w="15" w:type="dxa"/>
              <w:right w:w="15" w:type="dxa"/>
            </w:tcMar>
            <w:vAlign w:val="center"/>
          </w:tcPr>
          <w:p>
            <w:pPr>
              <w:widowControl/>
              <w:jc w:val="center"/>
              <w:rPr>
                <w:rFonts w:hint="eastAsia" w:asciiTheme="minorEastAsia" w:hAnsiTheme="minorEastAsia" w:eastAsiaTheme="minorEastAsia" w:cstheme="minorEastAsia"/>
                <w:kern w:val="0"/>
                <w:sz w:val="21"/>
                <w:szCs w:val="21"/>
              </w:rPr>
            </w:pPr>
          </w:p>
        </w:tc>
      </w:tr>
      <w:tr>
        <w:tblPrEx>
          <w:tblCellMar>
            <w:top w:w="0" w:type="dxa"/>
            <w:left w:w="0" w:type="dxa"/>
            <w:bottom w:w="0" w:type="dxa"/>
            <w:right w:w="0" w:type="dxa"/>
          </w:tblCellMar>
        </w:tblPrEx>
        <w:trPr>
          <w:trHeight w:val="567" w:hRule="atLeast"/>
          <w:jc w:val="center"/>
        </w:trPr>
        <w:tc>
          <w:tcPr>
            <w:tcW w:w="1168" w:type="dxa"/>
            <w:tcBorders>
              <w:top w:val="nil"/>
              <w:left w:val="single" w:color="000000" w:sz="12" w:space="0"/>
              <w:bottom w:val="single" w:color="000000" w:sz="8" w:space="0"/>
              <w:right w:val="single" w:color="000000" w:sz="8" w:space="0"/>
            </w:tcBorders>
            <w:shd w:val="clear" w:color="auto" w:fill="auto"/>
            <w:tcMar>
              <w:top w:w="15" w:type="dxa"/>
              <w:left w:w="15" w:type="dxa"/>
              <w:bottom w:w="15" w:type="dxa"/>
              <w:right w:w="15" w:type="dxa"/>
            </w:tcMar>
            <w:vAlign w:val="center"/>
          </w:tcPr>
          <w:p>
            <w:pPr>
              <w:numPr>
                <w:ilvl w:val="0"/>
                <w:numId w:val="1"/>
              </w:numPr>
              <w:ind w:left="0" w:leftChars="0" w:firstLine="0" w:firstLineChars="0"/>
              <w:jc w:val="center"/>
              <w:rPr>
                <w:rFonts w:hint="eastAsia" w:ascii="宋体" w:hAnsi="宋体" w:eastAsia="宋体" w:cs="宋体"/>
                <w:lang w:val="en-US" w:eastAsia="zh-CN"/>
              </w:rPr>
            </w:pPr>
          </w:p>
        </w:tc>
        <w:tc>
          <w:tcPr>
            <w:tcW w:w="2881" w:type="dxa"/>
            <w:gridSpan w:val="3"/>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档案资料管理混乱，造成检测数据无法追溯</w:t>
            </w:r>
          </w:p>
        </w:tc>
        <w:tc>
          <w:tcPr>
            <w:tcW w:w="1104" w:type="dxa"/>
            <w:gridSpan w:val="2"/>
            <w:tcBorders>
              <w:top w:val="nil"/>
              <w:left w:val="nil"/>
              <w:bottom w:val="single" w:color="000000" w:sz="8" w:space="0"/>
              <w:right w:val="single" w:color="auto" w:sz="8"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eastAsia="zh-CN"/>
              </w:rPr>
              <w:t>区住建局</w:t>
            </w:r>
          </w:p>
        </w:tc>
        <w:tc>
          <w:tcPr>
            <w:tcW w:w="200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无法追溯数据的档案份数6份以下的；或造成一般危害后果的</w:t>
            </w:r>
          </w:p>
        </w:tc>
        <w:tc>
          <w:tcPr>
            <w:tcW w:w="6301"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建设工程质量检测管理办法》第二十九条：检测机构违反本办法规定，有下列行为之一的，由县级以上地方人民政府建设主管部门责令改正，可并处1万元以上3万元以下的罚款；构成犯罪的，依法追究刑事责任：（七）档案资料管理混乱，造成检测数据无法追溯的；第三十二条：依照本办法规定，给予检测机构罚款处罚的，对检测机构的法定代表人和其他直接责任人员处罚款数额5％以上10％以下的罚款。</w:t>
            </w:r>
          </w:p>
        </w:tc>
        <w:tc>
          <w:tcPr>
            <w:tcW w:w="952" w:type="dxa"/>
            <w:tcBorders>
              <w:top w:val="nil"/>
              <w:left w:val="nil"/>
              <w:bottom w:val="single" w:color="000000" w:sz="8" w:space="0"/>
              <w:right w:val="single" w:color="000000" w:sz="12" w:space="0"/>
            </w:tcBorders>
            <w:shd w:val="clear" w:color="auto" w:fill="auto"/>
            <w:tcMar>
              <w:top w:w="15" w:type="dxa"/>
              <w:left w:w="15" w:type="dxa"/>
              <w:bottom w:w="15" w:type="dxa"/>
              <w:right w:w="15" w:type="dxa"/>
            </w:tcMar>
            <w:vAlign w:val="center"/>
          </w:tcPr>
          <w:p>
            <w:pPr>
              <w:widowControl/>
              <w:jc w:val="center"/>
              <w:rPr>
                <w:rFonts w:hint="eastAsia" w:asciiTheme="minorEastAsia" w:hAnsiTheme="minorEastAsia" w:eastAsiaTheme="minorEastAsia" w:cstheme="minorEastAsia"/>
                <w:kern w:val="0"/>
                <w:sz w:val="21"/>
                <w:szCs w:val="21"/>
              </w:rPr>
            </w:pPr>
          </w:p>
        </w:tc>
      </w:tr>
      <w:tr>
        <w:tblPrEx>
          <w:tblCellMar>
            <w:top w:w="0" w:type="dxa"/>
            <w:left w:w="0" w:type="dxa"/>
            <w:bottom w:w="0" w:type="dxa"/>
            <w:right w:w="0" w:type="dxa"/>
          </w:tblCellMar>
        </w:tblPrEx>
        <w:trPr>
          <w:trHeight w:val="567" w:hRule="atLeast"/>
          <w:jc w:val="center"/>
        </w:trPr>
        <w:tc>
          <w:tcPr>
            <w:tcW w:w="1168" w:type="dxa"/>
            <w:tcBorders>
              <w:top w:val="nil"/>
              <w:left w:val="single" w:color="000000" w:sz="12" w:space="0"/>
              <w:bottom w:val="single" w:color="000000" w:sz="8" w:space="0"/>
              <w:right w:val="single" w:color="000000" w:sz="8" w:space="0"/>
            </w:tcBorders>
            <w:shd w:val="clear" w:color="auto" w:fill="auto"/>
            <w:tcMar>
              <w:top w:w="15" w:type="dxa"/>
              <w:left w:w="15" w:type="dxa"/>
              <w:bottom w:w="15" w:type="dxa"/>
              <w:right w:w="15" w:type="dxa"/>
            </w:tcMar>
            <w:vAlign w:val="center"/>
          </w:tcPr>
          <w:p>
            <w:pPr>
              <w:numPr>
                <w:ilvl w:val="0"/>
                <w:numId w:val="1"/>
              </w:numPr>
              <w:ind w:left="0" w:leftChars="0" w:firstLine="0" w:firstLineChars="0"/>
              <w:jc w:val="center"/>
              <w:rPr>
                <w:rFonts w:hint="eastAsia" w:ascii="宋体" w:hAnsi="宋体" w:eastAsia="宋体" w:cs="宋体"/>
                <w:lang w:val="en-US" w:eastAsia="zh-CN"/>
              </w:rPr>
            </w:pPr>
          </w:p>
        </w:tc>
        <w:tc>
          <w:tcPr>
            <w:tcW w:w="2881" w:type="dxa"/>
            <w:gridSpan w:val="3"/>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转包检测业务</w:t>
            </w:r>
          </w:p>
        </w:tc>
        <w:tc>
          <w:tcPr>
            <w:tcW w:w="1104" w:type="dxa"/>
            <w:gridSpan w:val="2"/>
            <w:tcBorders>
              <w:top w:val="nil"/>
              <w:left w:val="nil"/>
              <w:bottom w:val="single" w:color="000000" w:sz="8" w:space="0"/>
              <w:right w:val="single" w:color="auto" w:sz="8"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eastAsia="zh-CN"/>
              </w:rPr>
              <w:t>区住建局</w:t>
            </w:r>
          </w:p>
        </w:tc>
        <w:tc>
          <w:tcPr>
            <w:tcW w:w="200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转让检测业务合同金额5万元以下的；或造成一般危害后果的</w:t>
            </w:r>
          </w:p>
        </w:tc>
        <w:tc>
          <w:tcPr>
            <w:tcW w:w="6301"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建设工程质量检测管理办法》第二十九条：检测机构违反本办法规定，有下列行为之一的，由县级以上地方人民政府建设主管部门责令改正，可并处1万元以上3万元以下的罚款；构成犯罪的，依法追究刑事责任：</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（八）转包检测业务的。第三十二条：依照本办法规定，给予检测机构罚款处罚的，对检测机构的法定代表人和其他直接责任人员处罚款数额5％以上10％以下的罚款。</w:t>
            </w:r>
          </w:p>
        </w:tc>
        <w:tc>
          <w:tcPr>
            <w:tcW w:w="952" w:type="dxa"/>
            <w:tcBorders>
              <w:top w:val="nil"/>
              <w:left w:val="nil"/>
              <w:bottom w:val="single" w:color="000000" w:sz="8" w:space="0"/>
              <w:right w:val="single" w:color="000000" w:sz="12" w:space="0"/>
            </w:tcBorders>
            <w:shd w:val="clear" w:color="auto" w:fill="auto"/>
            <w:tcMar>
              <w:top w:w="15" w:type="dxa"/>
              <w:left w:w="15" w:type="dxa"/>
              <w:bottom w:w="15" w:type="dxa"/>
              <w:right w:w="15" w:type="dxa"/>
            </w:tcMar>
            <w:vAlign w:val="center"/>
          </w:tcPr>
          <w:p>
            <w:pPr>
              <w:widowControl/>
              <w:jc w:val="center"/>
              <w:rPr>
                <w:rFonts w:hint="eastAsia" w:asciiTheme="minorEastAsia" w:hAnsiTheme="minorEastAsia" w:eastAsiaTheme="minorEastAsia" w:cstheme="minorEastAsia"/>
                <w:kern w:val="0"/>
                <w:sz w:val="21"/>
                <w:szCs w:val="21"/>
              </w:rPr>
            </w:pPr>
          </w:p>
        </w:tc>
      </w:tr>
      <w:tr>
        <w:tblPrEx>
          <w:tblCellMar>
            <w:top w:w="0" w:type="dxa"/>
            <w:left w:w="0" w:type="dxa"/>
            <w:bottom w:w="0" w:type="dxa"/>
            <w:right w:w="0" w:type="dxa"/>
          </w:tblCellMar>
        </w:tblPrEx>
        <w:trPr>
          <w:trHeight w:val="567" w:hRule="atLeast"/>
          <w:jc w:val="center"/>
        </w:trPr>
        <w:tc>
          <w:tcPr>
            <w:tcW w:w="1168" w:type="dxa"/>
            <w:tcBorders>
              <w:top w:val="nil"/>
              <w:left w:val="single" w:color="000000" w:sz="12" w:space="0"/>
              <w:bottom w:val="single" w:color="000000" w:sz="8" w:space="0"/>
              <w:right w:val="single" w:color="000000" w:sz="8" w:space="0"/>
            </w:tcBorders>
            <w:shd w:val="clear" w:color="auto" w:fill="auto"/>
            <w:tcMar>
              <w:top w:w="15" w:type="dxa"/>
              <w:left w:w="15" w:type="dxa"/>
              <w:bottom w:w="15" w:type="dxa"/>
              <w:right w:w="15" w:type="dxa"/>
            </w:tcMar>
            <w:vAlign w:val="center"/>
          </w:tcPr>
          <w:p>
            <w:pPr>
              <w:numPr>
                <w:ilvl w:val="0"/>
                <w:numId w:val="1"/>
              </w:numPr>
              <w:ind w:left="0" w:leftChars="0" w:firstLine="0" w:firstLineChars="0"/>
              <w:jc w:val="center"/>
              <w:rPr>
                <w:rFonts w:hint="eastAsia" w:ascii="宋体" w:hAnsi="宋体" w:eastAsia="宋体" w:cs="宋体"/>
                <w:lang w:val="en-US" w:eastAsia="zh-CN"/>
              </w:rPr>
            </w:pPr>
          </w:p>
        </w:tc>
        <w:tc>
          <w:tcPr>
            <w:tcW w:w="2881" w:type="dxa"/>
            <w:gridSpan w:val="3"/>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委托未取得相应资质的检测机构进行检测</w:t>
            </w:r>
          </w:p>
        </w:tc>
        <w:tc>
          <w:tcPr>
            <w:tcW w:w="1104" w:type="dxa"/>
            <w:gridSpan w:val="2"/>
            <w:tcBorders>
              <w:top w:val="nil"/>
              <w:left w:val="nil"/>
              <w:bottom w:val="single" w:color="000000" w:sz="8" w:space="0"/>
              <w:right w:val="single" w:color="auto" w:sz="8"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eastAsia="zh-CN"/>
              </w:rPr>
              <w:t>区住建局</w:t>
            </w:r>
          </w:p>
        </w:tc>
        <w:tc>
          <w:tcPr>
            <w:tcW w:w="200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及时纠正，未造成危害后果的</w:t>
            </w:r>
          </w:p>
        </w:tc>
        <w:tc>
          <w:tcPr>
            <w:tcW w:w="6301"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建设工程质量检测管理办法》第三十一条：违反本办法规定，委托方有下列行为之一的，由县级以上地方人民政府建设主管部门责令改正，处1万元以上3万元以下的罚款：（一）委托未取得相应资质的检测机构进行检测的；（二）明示或暗示检测机构出具虚假检测报告，篡改或伪造检测报告的；（三）弄虚作假送检试样的。</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第三十二条：依照本办法规定，给予检测机构罚款处罚的，对检测机构的法定代表人和其他直接责任人员处罚款数额5％以上10％以下的罚款。</w:t>
            </w:r>
          </w:p>
        </w:tc>
        <w:tc>
          <w:tcPr>
            <w:tcW w:w="952" w:type="dxa"/>
            <w:tcBorders>
              <w:top w:val="nil"/>
              <w:left w:val="nil"/>
              <w:bottom w:val="single" w:color="000000" w:sz="8" w:space="0"/>
              <w:right w:val="single" w:color="000000" w:sz="12" w:space="0"/>
            </w:tcBorders>
            <w:shd w:val="clear" w:color="auto" w:fill="auto"/>
            <w:tcMar>
              <w:top w:w="15" w:type="dxa"/>
              <w:left w:w="15" w:type="dxa"/>
              <w:bottom w:w="15" w:type="dxa"/>
              <w:right w:w="15" w:type="dxa"/>
            </w:tcMar>
            <w:vAlign w:val="center"/>
          </w:tcPr>
          <w:p>
            <w:pPr>
              <w:widowControl/>
              <w:jc w:val="center"/>
              <w:rPr>
                <w:rFonts w:hint="eastAsia" w:asciiTheme="minorEastAsia" w:hAnsiTheme="minorEastAsia" w:eastAsiaTheme="minorEastAsia" w:cstheme="minorEastAsia"/>
                <w:kern w:val="0"/>
                <w:sz w:val="21"/>
                <w:szCs w:val="21"/>
              </w:rPr>
            </w:pPr>
          </w:p>
        </w:tc>
      </w:tr>
      <w:tr>
        <w:tblPrEx>
          <w:tblCellMar>
            <w:top w:w="0" w:type="dxa"/>
            <w:left w:w="0" w:type="dxa"/>
            <w:bottom w:w="0" w:type="dxa"/>
            <w:right w:w="0" w:type="dxa"/>
          </w:tblCellMar>
        </w:tblPrEx>
        <w:trPr>
          <w:trHeight w:val="567" w:hRule="atLeast"/>
          <w:jc w:val="center"/>
        </w:trPr>
        <w:tc>
          <w:tcPr>
            <w:tcW w:w="1168" w:type="dxa"/>
            <w:tcBorders>
              <w:top w:val="nil"/>
              <w:left w:val="single" w:color="000000" w:sz="12" w:space="0"/>
              <w:bottom w:val="single" w:color="000000" w:sz="8" w:space="0"/>
              <w:right w:val="single" w:color="000000" w:sz="8" w:space="0"/>
            </w:tcBorders>
            <w:shd w:val="clear" w:color="auto" w:fill="auto"/>
            <w:tcMar>
              <w:top w:w="15" w:type="dxa"/>
              <w:left w:w="15" w:type="dxa"/>
              <w:bottom w:w="15" w:type="dxa"/>
              <w:right w:w="15" w:type="dxa"/>
            </w:tcMar>
            <w:vAlign w:val="center"/>
          </w:tcPr>
          <w:p>
            <w:pPr>
              <w:numPr>
                <w:ilvl w:val="0"/>
                <w:numId w:val="1"/>
              </w:numPr>
              <w:ind w:left="0" w:leftChars="0" w:firstLine="0" w:firstLineChars="0"/>
              <w:jc w:val="center"/>
              <w:rPr>
                <w:rFonts w:hint="eastAsia" w:ascii="宋体" w:hAnsi="宋体" w:eastAsia="宋体" w:cs="宋体"/>
                <w:lang w:val="en-US" w:eastAsia="zh-CN"/>
              </w:rPr>
            </w:pPr>
          </w:p>
        </w:tc>
        <w:tc>
          <w:tcPr>
            <w:tcW w:w="2881" w:type="dxa"/>
            <w:gridSpan w:val="3"/>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明示或暗示检测机构出具虚假检测报告，篡改或伪造检测报告</w:t>
            </w:r>
          </w:p>
        </w:tc>
        <w:tc>
          <w:tcPr>
            <w:tcW w:w="1104" w:type="dxa"/>
            <w:gridSpan w:val="2"/>
            <w:tcBorders>
              <w:top w:val="nil"/>
              <w:left w:val="nil"/>
              <w:bottom w:val="single" w:color="000000" w:sz="8" w:space="0"/>
              <w:right w:val="single" w:color="auto" w:sz="8"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eastAsia="zh-CN"/>
              </w:rPr>
              <w:t>区住建局</w:t>
            </w:r>
          </w:p>
        </w:tc>
        <w:tc>
          <w:tcPr>
            <w:tcW w:w="200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未涉及结构安全及重要使用功能的，或者未造成其他后果或造成轻微危害后果的</w:t>
            </w:r>
          </w:p>
        </w:tc>
        <w:tc>
          <w:tcPr>
            <w:tcW w:w="6301"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建设工程质量检测管理办法》第三十一条：违反本办法规定，委托方有下列行为之一的，由县级以上地方人民政府建设主管部门责令改正，处1万元以上3万元以下的罚款：（一）委托未取得相应资质的检测机构进行检测的；（二）明示或暗示检测机构出具虚假检测报告，篡改或伪造检测报告的；（三）弄虚作假送检试样的。第三十二条：依照本办法规定，给予检测机构罚款处罚的，对检测机构的法定代表人和其他直接责任人员处罚款数额5％以上10％以下的罚款。</w:t>
            </w:r>
          </w:p>
        </w:tc>
        <w:tc>
          <w:tcPr>
            <w:tcW w:w="952" w:type="dxa"/>
            <w:tcBorders>
              <w:top w:val="nil"/>
              <w:left w:val="nil"/>
              <w:bottom w:val="single" w:color="000000" w:sz="8" w:space="0"/>
              <w:right w:val="single" w:color="000000" w:sz="12" w:space="0"/>
            </w:tcBorders>
            <w:shd w:val="clear" w:color="auto" w:fill="auto"/>
            <w:tcMar>
              <w:top w:w="15" w:type="dxa"/>
              <w:left w:w="15" w:type="dxa"/>
              <w:bottom w:w="15" w:type="dxa"/>
              <w:right w:w="15" w:type="dxa"/>
            </w:tcMar>
            <w:vAlign w:val="center"/>
          </w:tcPr>
          <w:p>
            <w:pPr>
              <w:widowControl/>
              <w:jc w:val="center"/>
              <w:rPr>
                <w:rFonts w:hint="eastAsia" w:asciiTheme="minorEastAsia" w:hAnsiTheme="minorEastAsia" w:eastAsiaTheme="minorEastAsia" w:cstheme="minorEastAsia"/>
                <w:kern w:val="0"/>
                <w:sz w:val="21"/>
                <w:szCs w:val="21"/>
              </w:rPr>
            </w:pPr>
          </w:p>
        </w:tc>
      </w:tr>
      <w:tr>
        <w:tblPrEx>
          <w:tblCellMar>
            <w:top w:w="0" w:type="dxa"/>
            <w:left w:w="0" w:type="dxa"/>
            <w:bottom w:w="0" w:type="dxa"/>
            <w:right w:w="0" w:type="dxa"/>
          </w:tblCellMar>
        </w:tblPrEx>
        <w:trPr>
          <w:trHeight w:val="567" w:hRule="atLeast"/>
          <w:jc w:val="center"/>
        </w:trPr>
        <w:tc>
          <w:tcPr>
            <w:tcW w:w="1168" w:type="dxa"/>
            <w:tcBorders>
              <w:top w:val="nil"/>
              <w:left w:val="single" w:color="000000" w:sz="12" w:space="0"/>
              <w:bottom w:val="single" w:color="000000" w:sz="8" w:space="0"/>
              <w:right w:val="single" w:color="000000" w:sz="8" w:space="0"/>
            </w:tcBorders>
            <w:shd w:val="clear" w:color="auto" w:fill="auto"/>
            <w:tcMar>
              <w:top w:w="15" w:type="dxa"/>
              <w:left w:w="15" w:type="dxa"/>
              <w:bottom w:w="15" w:type="dxa"/>
              <w:right w:w="15" w:type="dxa"/>
            </w:tcMar>
            <w:vAlign w:val="center"/>
          </w:tcPr>
          <w:p>
            <w:pPr>
              <w:numPr>
                <w:ilvl w:val="0"/>
                <w:numId w:val="1"/>
              </w:numPr>
              <w:ind w:left="0" w:leftChars="0" w:firstLine="0" w:firstLineChars="0"/>
              <w:jc w:val="center"/>
              <w:rPr>
                <w:rFonts w:hint="eastAsia" w:ascii="宋体" w:hAnsi="宋体" w:eastAsia="宋体" w:cs="宋体"/>
                <w:lang w:val="en-US" w:eastAsia="zh-CN"/>
              </w:rPr>
            </w:pPr>
          </w:p>
        </w:tc>
        <w:tc>
          <w:tcPr>
            <w:tcW w:w="2881" w:type="dxa"/>
            <w:gridSpan w:val="3"/>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弄虚作假送检试样</w:t>
            </w:r>
          </w:p>
        </w:tc>
        <w:tc>
          <w:tcPr>
            <w:tcW w:w="1104" w:type="dxa"/>
            <w:gridSpan w:val="2"/>
            <w:tcBorders>
              <w:top w:val="nil"/>
              <w:left w:val="nil"/>
              <w:bottom w:val="single" w:color="000000" w:sz="8" w:space="0"/>
              <w:right w:val="single" w:color="auto" w:sz="8"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eastAsia="zh-CN"/>
              </w:rPr>
              <w:t>区住建局</w:t>
            </w:r>
          </w:p>
        </w:tc>
        <w:tc>
          <w:tcPr>
            <w:tcW w:w="200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未涉及结构安全及重要使用功能的</w:t>
            </w:r>
          </w:p>
        </w:tc>
        <w:tc>
          <w:tcPr>
            <w:tcW w:w="6301"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建设工程质量检测管理办法》第三十一条：违反本办法规定，委托方有下列行为之一的，由县级以上地方人民政府建设主管部门责令改正，处1万元以上3万元以下的罚款：（一）委托未取得相应资质的检测机构进行检测的；（二）明示或暗示检测机构出具虚假检测报告，篡改或伪造检测报告的；（三）弄虚作假送检试样的。第三十二条：依照本办法规定，给予检测机构罚款处罚的，对检测机构的法定代表人和其他直接责任人员处罚款数额5％以上10％以下的罚款。</w:t>
            </w:r>
          </w:p>
        </w:tc>
        <w:tc>
          <w:tcPr>
            <w:tcW w:w="952" w:type="dxa"/>
            <w:tcBorders>
              <w:top w:val="nil"/>
              <w:left w:val="nil"/>
              <w:bottom w:val="single" w:color="000000" w:sz="8" w:space="0"/>
              <w:right w:val="single" w:color="000000" w:sz="12" w:space="0"/>
            </w:tcBorders>
            <w:shd w:val="clear" w:color="auto" w:fill="auto"/>
            <w:tcMar>
              <w:top w:w="15" w:type="dxa"/>
              <w:left w:w="15" w:type="dxa"/>
              <w:bottom w:w="15" w:type="dxa"/>
              <w:right w:w="15" w:type="dxa"/>
            </w:tcMar>
            <w:vAlign w:val="center"/>
          </w:tcPr>
          <w:p>
            <w:pPr>
              <w:widowControl/>
              <w:jc w:val="center"/>
              <w:rPr>
                <w:rFonts w:hint="eastAsia" w:asciiTheme="minorEastAsia" w:hAnsiTheme="minorEastAsia" w:eastAsiaTheme="minorEastAsia" w:cstheme="minorEastAsia"/>
                <w:kern w:val="0"/>
                <w:sz w:val="21"/>
                <w:szCs w:val="21"/>
              </w:rPr>
            </w:pPr>
          </w:p>
        </w:tc>
      </w:tr>
      <w:tr>
        <w:tblPrEx>
          <w:tblCellMar>
            <w:top w:w="0" w:type="dxa"/>
            <w:left w:w="0" w:type="dxa"/>
            <w:bottom w:w="0" w:type="dxa"/>
            <w:right w:w="0" w:type="dxa"/>
          </w:tblCellMar>
        </w:tblPrEx>
        <w:trPr>
          <w:trHeight w:val="567" w:hRule="atLeast"/>
          <w:jc w:val="center"/>
        </w:trPr>
        <w:tc>
          <w:tcPr>
            <w:tcW w:w="1168" w:type="dxa"/>
            <w:tcBorders>
              <w:top w:val="nil"/>
              <w:left w:val="single" w:color="000000" w:sz="12" w:space="0"/>
              <w:bottom w:val="single" w:color="000000" w:sz="8" w:space="0"/>
              <w:right w:val="single" w:color="000000" w:sz="8" w:space="0"/>
            </w:tcBorders>
            <w:shd w:val="clear" w:color="auto" w:fill="auto"/>
            <w:tcMar>
              <w:top w:w="15" w:type="dxa"/>
              <w:left w:w="15" w:type="dxa"/>
              <w:bottom w:w="15" w:type="dxa"/>
              <w:right w:w="15" w:type="dxa"/>
            </w:tcMar>
            <w:vAlign w:val="center"/>
          </w:tcPr>
          <w:p>
            <w:pPr>
              <w:numPr>
                <w:ilvl w:val="0"/>
                <w:numId w:val="1"/>
              </w:numPr>
              <w:ind w:left="0" w:leftChars="0" w:firstLine="0" w:firstLineChars="0"/>
              <w:jc w:val="center"/>
              <w:rPr>
                <w:rFonts w:hint="eastAsia" w:ascii="宋体" w:hAnsi="宋体" w:eastAsia="宋体" w:cs="宋体"/>
                <w:lang w:val="en-US" w:eastAsia="zh-CN"/>
              </w:rPr>
            </w:pPr>
          </w:p>
        </w:tc>
        <w:tc>
          <w:tcPr>
            <w:tcW w:w="2881" w:type="dxa"/>
            <w:gridSpan w:val="3"/>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工程竣工验收后，不向建设单位出具质量保修书</w:t>
            </w:r>
          </w:p>
        </w:tc>
        <w:tc>
          <w:tcPr>
            <w:tcW w:w="1104" w:type="dxa"/>
            <w:gridSpan w:val="2"/>
            <w:tcBorders>
              <w:top w:val="nil"/>
              <w:left w:val="nil"/>
              <w:bottom w:val="single" w:color="000000" w:sz="8" w:space="0"/>
              <w:right w:val="single" w:color="auto" w:sz="8"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eastAsia="zh-CN"/>
              </w:rPr>
              <w:t>区住建局</w:t>
            </w:r>
          </w:p>
        </w:tc>
        <w:tc>
          <w:tcPr>
            <w:tcW w:w="200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施工单项合同金额300万元以下的</w:t>
            </w:r>
          </w:p>
        </w:tc>
        <w:tc>
          <w:tcPr>
            <w:tcW w:w="6301"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《房屋建筑工程质量保修办法》第十八条：施工单位有下列行为之一的，由建设行政主管部门责令改正，并处1万元以上3万元以下的罚款。</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　　（一）工程竣工验收后，不向建设单位出具质量保修书的；</w:t>
            </w:r>
          </w:p>
        </w:tc>
        <w:tc>
          <w:tcPr>
            <w:tcW w:w="952" w:type="dxa"/>
            <w:tcBorders>
              <w:top w:val="nil"/>
              <w:left w:val="nil"/>
              <w:bottom w:val="single" w:color="000000" w:sz="8" w:space="0"/>
              <w:right w:val="single" w:color="000000" w:sz="12" w:space="0"/>
            </w:tcBorders>
            <w:shd w:val="clear" w:color="auto" w:fill="auto"/>
            <w:tcMar>
              <w:top w:w="15" w:type="dxa"/>
              <w:left w:w="15" w:type="dxa"/>
              <w:bottom w:w="15" w:type="dxa"/>
              <w:right w:w="15" w:type="dxa"/>
            </w:tcMar>
            <w:vAlign w:val="center"/>
          </w:tcPr>
          <w:p>
            <w:pPr>
              <w:widowControl/>
              <w:jc w:val="center"/>
              <w:rPr>
                <w:rFonts w:hint="eastAsia" w:asciiTheme="minorEastAsia" w:hAnsiTheme="minorEastAsia" w:eastAsiaTheme="minorEastAsia" w:cstheme="minorEastAsia"/>
                <w:kern w:val="0"/>
                <w:sz w:val="21"/>
                <w:szCs w:val="21"/>
              </w:rPr>
            </w:pPr>
          </w:p>
        </w:tc>
      </w:tr>
      <w:tr>
        <w:tblPrEx>
          <w:tblCellMar>
            <w:top w:w="0" w:type="dxa"/>
            <w:left w:w="0" w:type="dxa"/>
            <w:bottom w:w="0" w:type="dxa"/>
            <w:right w:w="0" w:type="dxa"/>
          </w:tblCellMar>
        </w:tblPrEx>
        <w:trPr>
          <w:trHeight w:val="567" w:hRule="atLeast"/>
          <w:jc w:val="center"/>
        </w:trPr>
        <w:tc>
          <w:tcPr>
            <w:tcW w:w="1168" w:type="dxa"/>
            <w:tcBorders>
              <w:top w:val="nil"/>
              <w:left w:val="single" w:color="000000" w:sz="12" w:space="0"/>
              <w:bottom w:val="single" w:color="000000" w:sz="8" w:space="0"/>
              <w:right w:val="single" w:color="000000" w:sz="8" w:space="0"/>
            </w:tcBorders>
            <w:shd w:val="clear" w:color="auto" w:fill="auto"/>
            <w:tcMar>
              <w:top w:w="15" w:type="dxa"/>
              <w:left w:w="15" w:type="dxa"/>
              <w:bottom w:w="15" w:type="dxa"/>
              <w:right w:w="15" w:type="dxa"/>
            </w:tcMar>
            <w:vAlign w:val="center"/>
          </w:tcPr>
          <w:p>
            <w:pPr>
              <w:numPr>
                <w:ilvl w:val="0"/>
                <w:numId w:val="1"/>
              </w:numPr>
              <w:ind w:left="0" w:leftChars="0" w:firstLine="0" w:firstLineChars="0"/>
              <w:jc w:val="center"/>
              <w:rPr>
                <w:rFonts w:hint="eastAsia" w:ascii="宋体" w:hAnsi="宋体" w:eastAsia="宋体" w:cs="宋体"/>
                <w:lang w:val="en-US" w:eastAsia="zh-CN"/>
              </w:rPr>
            </w:pPr>
          </w:p>
        </w:tc>
        <w:tc>
          <w:tcPr>
            <w:tcW w:w="2881" w:type="dxa"/>
            <w:gridSpan w:val="3"/>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质量保修的内容、期限违反本办法规定</w:t>
            </w:r>
          </w:p>
        </w:tc>
        <w:tc>
          <w:tcPr>
            <w:tcW w:w="1104" w:type="dxa"/>
            <w:gridSpan w:val="2"/>
            <w:tcBorders>
              <w:top w:val="nil"/>
              <w:left w:val="nil"/>
              <w:bottom w:val="single" w:color="000000" w:sz="8" w:space="0"/>
              <w:right w:val="single" w:color="auto" w:sz="8"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eastAsia="zh-CN"/>
              </w:rPr>
              <w:t>区住建局</w:t>
            </w:r>
          </w:p>
        </w:tc>
        <w:tc>
          <w:tcPr>
            <w:tcW w:w="200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施工单项合同金额300万元以下的</w:t>
            </w:r>
          </w:p>
        </w:tc>
        <w:tc>
          <w:tcPr>
            <w:tcW w:w="6301"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《房屋建筑工程质量保修办法》第十八条：施工单位有下列行为之一的，由建设行政主管部门责令改正，并处1万元以上3万元以下的罚款。</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　　（二）质量保修的内容、期限违反本办法规定的。</w:t>
            </w:r>
          </w:p>
        </w:tc>
        <w:tc>
          <w:tcPr>
            <w:tcW w:w="952" w:type="dxa"/>
            <w:tcBorders>
              <w:top w:val="nil"/>
              <w:left w:val="nil"/>
              <w:bottom w:val="single" w:color="000000" w:sz="8" w:space="0"/>
              <w:right w:val="single" w:color="000000" w:sz="12" w:space="0"/>
            </w:tcBorders>
            <w:shd w:val="clear" w:color="auto" w:fill="auto"/>
            <w:tcMar>
              <w:top w:w="15" w:type="dxa"/>
              <w:left w:w="15" w:type="dxa"/>
              <w:bottom w:w="15" w:type="dxa"/>
              <w:right w:w="15" w:type="dxa"/>
            </w:tcMar>
            <w:vAlign w:val="center"/>
          </w:tcPr>
          <w:p>
            <w:pPr>
              <w:widowControl/>
              <w:jc w:val="center"/>
              <w:rPr>
                <w:rFonts w:hint="eastAsia" w:asciiTheme="minorEastAsia" w:hAnsiTheme="minorEastAsia" w:eastAsiaTheme="minorEastAsia" w:cstheme="minorEastAsia"/>
                <w:kern w:val="0"/>
                <w:sz w:val="21"/>
                <w:szCs w:val="21"/>
              </w:rPr>
            </w:pPr>
          </w:p>
        </w:tc>
      </w:tr>
      <w:tr>
        <w:tblPrEx>
          <w:tblCellMar>
            <w:top w:w="0" w:type="dxa"/>
            <w:left w:w="0" w:type="dxa"/>
            <w:bottom w:w="0" w:type="dxa"/>
            <w:right w:w="0" w:type="dxa"/>
          </w:tblCellMar>
        </w:tblPrEx>
        <w:trPr>
          <w:trHeight w:val="567" w:hRule="atLeast"/>
          <w:jc w:val="center"/>
        </w:trPr>
        <w:tc>
          <w:tcPr>
            <w:tcW w:w="1168" w:type="dxa"/>
            <w:tcBorders>
              <w:top w:val="nil"/>
              <w:left w:val="single" w:color="000000" w:sz="12" w:space="0"/>
              <w:bottom w:val="single" w:color="000000" w:sz="8" w:space="0"/>
              <w:right w:val="single" w:color="000000" w:sz="8" w:space="0"/>
            </w:tcBorders>
            <w:shd w:val="clear" w:color="auto" w:fill="auto"/>
            <w:tcMar>
              <w:top w:w="15" w:type="dxa"/>
              <w:left w:w="15" w:type="dxa"/>
              <w:bottom w:w="15" w:type="dxa"/>
              <w:right w:w="15" w:type="dxa"/>
            </w:tcMar>
            <w:vAlign w:val="center"/>
          </w:tcPr>
          <w:p>
            <w:pPr>
              <w:numPr>
                <w:ilvl w:val="0"/>
                <w:numId w:val="1"/>
              </w:numPr>
              <w:ind w:left="0" w:leftChars="0" w:firstLine="0" w:firstLineChars="0"/>
              <w:jc w:val="center"/>
              <w:rPr>
                <w:rFonts w:hint="eastAsia" w:ascii="宋体" w:hAnsi="宋体" w:eastAsia="宋体" w:cs="宋体"/>
                <w:lang w:val="en-US" w:eastAsia="zh-CN"/>
              </w:rPr>
            </w:pPr>
          </w:p>
        </w:tc>
        <w:tc>
          <w:tcPr>
            <w:tcW w:w="2881" w:type="dxa"/>
            <w:gridSpan w:val="3"/>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施工单位不履行保修义务或者拖延履行保修义务</w:t>
            </w:r>
          </w:p>
        </w:tc>
        <w:tc>
          <w:tcPr>
            <w:tcW w:w="1104" w:type="dxa"/>
            <w:gridSpan w:val="2"/>
            <w:tcBorders>
              <w:top w:val="nil"/>
              <w:left w:val="nil"/>
              <w:bottom w:val="single" w:color="000000" w:sz="8" w:space="0"/>
              <w:right w:val="single" w:color="auto" w:sz="8"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eastAsia="zh-CN"/>
              </w:rPr>
              <w:t>区住建局</w:t>
            </w:r>
          </w:p>
        </w:tc>
        <w:tc>
          <w:tcPr>
            <w:tcW w:w="200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施工单位拖延履行保修义务15日以下的</w:t>
            </w:r>
          </w:p>
        </w:tc>
        <w:tc>
          <w:tcPr>
            <w:tcW w:w="6301"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《房屋建筑工程质量保修办法》第十九条：施工单位不履行保修义务或者拖延履行保修义务的，由建设行政主管部门责令改正，处10万元以上20万元以下的罚款。</w:t>
            </w:r>
          </w:p>
        </w:tc>
        <w:tc>
          <w:tcPr>
            <w:tcW w:w="952" w:type="dxa"/>
            <w:tcBorders>
              <w:top w:val="nil"/>
              <w:left w:val="nil"/>
              <w:bottom w:val="single" w:color="000000" w:sz="8" w:space="0"/>
              <w:right w:val="single" w:color="000000" w:sz="12" w:space="0"/>
            </w:tcBorders>
            <w:shd w:val="clear" w:color="auto" w:fill="auto"/>
            <w:tcMar>
              <w:top w:w="15" w:type="dxa"/>
              <w:left w:w="15" w:type="dxa"/>
              <w:bottom w:w="15" w:type="dxa"/>
              <w:right w:w="15" w:type="dxa"/>
            </w:tcMar>
            <w:vAlign w:val="center"/>
          </w:tcPr>
          <w:p>
            <w:pPr>
              <w:widowControl/>
              <w:jc w:val="center"/>
              <w:rPr>
                <w:rFonts w:hint="eastAsia" w:asciiTheme="minorEastAsia" w:hAnsiTheme="minorEastAsia" w:eastAsiaTheme="minorEastAsia" w:cstheme="minorEastAsia"/>
                <w:kern w:val="0"/>
                <w:sz w:val="21"/>
                <w:szCs w:val="21"/>
              </w:rPr>
            </w:pPr>
          </w:p>
        </w:tc>
      </w:tr>
      <w:tr>
        <w:tblPrEx>
          <w:tblCellMar>
            <w:top w:w="0" w:type="dxa"/>
            <w:left w:w="0" w:type="dxa"/>
            <w:bottom w:w="0" w:type="dxa"/>
            <w:right w:w="0" w:type="dxa"/>
          </w:tblCellMar>
        </w:tblPrEx>
        <w:trPr>
          <w:trHeight w:val="567" w:hRule="atLeast"/>
          <w:jc w:val="center"/>
        </w:trPr>
        <w:tc>
          <w:tcPr>
            <w:tcW w:w="1168" w:type="dxa"/>
            <w:tcBorders>
              <w:top w:val="nil"/>
              <w:left w:val="single" w:color="000000" w:sz="12" w:space="0"/>
              <w:bottom w:val="single" w:color="000000" w:sz="8" w:space="0"/>
              <w:right w:val="single" w:color="000000" w:sz="8" w:space="0"/>
            </w:tcBorders>
            <w:shd w:val="clear" w:color="auto" w:fill="auto"/>
            <w:tcMar>
              <w:top w:w="15" w:type="dxa"/>
              <w:left w:w="15" w:type="dxa"/>
              <w:bottom w:w="15" w:type="dxa"/>
              <w:right w:w="15" w:type="dxa"/>
            </w:tcMar>
            <w:vAlign w:val="center"/>
          </w:tcPr>
          <w:p>
            <w:pPr>
              <w:numPr>
                <w:ilvl w:val="0"/>
                <w:numId w:val="1"/>
              </w:numPr>
              <w:ind w:left="0" w:leftChars="0" w:firstLine="0" w:firstLineChars="0"/>
              <w:jc w:val="center"/>
              <w:rPr>
                <w:rFonts w:hint="eastAsia" w:ascii="宋体" w:hAnsi="宋体" w:eastAsia="宋体" w:cs="宋体"/>
                <w:lang w:val="en-US" w:eastAsia="zh-CN"/>
              </w:rPr>
            </w:pPr>
          </w:p>
        </w:tc>
        <w:tc>
          <w:tcPr>
            <w:tcW w:w="2881" w:type="dxa"/>
            <w:gridSpan w:val="3"/>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未取得安全生产许可证擅自进行生产的；冒用安全生产许可证或者使用伪造的安全生产许可证的</w:t>
            </w:r>
          </w:p>
        </w:tc>
        <w:tc>
          <w:tcPr>
            <w:tcW w:w="1104" w:type="dxa"/>
            <w:gridSpan w:val="2"/>
            <w:tcBorders>
              <w:top w:val="nil"/>
              <w:left w:val="nil"/>
              <w:bottom w:val="single" w:color="000000" w:sz="8" w:space="0"/>
              <w:right w:val="single" w:color="auto" w:sz="8"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eastAsia="zh-CN"/>
              </w:rPr>
              <w:t>区住建局</w:t>
            </w:r>
          </w:p>
        </w:tc>
        <w:tc>
          <w:tcPr>
            <w:tcW w:w="200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擅自从事建筑施工活动的时间1个月以下的</w:t>
            </w:r>
          </w:p>
        </w:tc>
        <w:tc>
          <w:tcPr>
            <w:tcW w:w="6301"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安全生产许可证条例》第十九条：违反本条例规定，未取得安全生产许可证擅自进行生产的，责令停止生产，没收违法所得，并处10万元以上50万元以下的罚款；造成重大事故或者其他严重后果，构成犯罪的，依法追究刑事责任。第二十一条：违反本条例规定，转让安全生产许可证的，没收违法所得，处10万元以上50万元以下的罚款，并吊销其安全生产许可证；构成犯罪的，依法追究刑事责任；接受转让的，依照本条例第十九条的规定处罚。冒用安全生产许可证或者使用伪造的安全生产许可证的，依照本条例第十九条的规定处罚。</w:t>
            </w:r>
          </w:p>
        </w:tc>
        <w:tc>
          <w:tcPr>
            <w:tcW w:w="952" w:type="dxa"/>
            <w:tcBorders>
              <w:top w:val="nil"/>
              <w:left w:val="nil"/>
              <w:bottom w:val="single" w:color="000000" w:sz="8" w:space="0"/>
              <w:right w:val="single" w:color="000000" w:sz="12" w:space="0"/>
            </w:tcBorders>
            <w:shd w:val="clear" w:color="auto" w:fill="auto"/>
            <w:tcMar>
              <w:top w:w="15" w:type="dxa"/>
              <w:left w:w="15" w:type="dxa"/>
              <w:bottom w:w="15" w:type="dxa"/>
              <w:right w:w="15" w:type="dxa"/>
            </w:tcMar>
            <w:vAlign w:val="center"/>
          </w:tcPr>
          <w:p>
            <w:pPr>
              <w:widowControl/>
              <w:jc w:val="center"/>
              <w:rPr>
                <w:rFonts w:hint="eastAsia" w:asciiTheme="minorEastAsia" w:hAnsiTheme="minorEastAsia" w:eastAsiaTheme="minorEastAsia" w:cstheme="minorEastAsia"/>
                <w:kern w:val="0"/>
                <w:sz w:val="21"/>
                <w:szCs w:val="21"/>
              </w:rPr>
            </w:pPr>
          </w:p>
        </w:tc>
      </w:tr>
      <w:tr>
        <w:tblPrEx>
          <w:tblCellMar>
            <w:top w:w="0" w:type="dxa"/>
            <w:left w:w="0" w:type="dxa"/>
            <w:bottom w:w="0" w:type="dxa"/>
            <w:right w:w="0" w:type="dxa"/>
          </w:tblCellMar>
        </w:tblPrEx>
        <w:trPr>
          <w:trHeight w:val="567" w:hRule="atLeast"/>
          <w:jc w:val="center"/>
        </w:trPr>
        <w:tc>
          <w:tcPr>
            <w:tcW w:w="1168" w:type="dxa"/>
            <w:tcBorders>
              <w:top w:val="nil"/>
              <w:left w:val="single" w:color="000000" w:sz="12" w:space="0"/>
              <w:bottom w:val="single" w:color="000000" w:sz="8" w:space="0"/>
              <w:right w:val="single" w:color="000000" w:sz="8" w:space="0"/>
            </w:tcBorders>
            <w:shd w:val="clear" w:color="auto" w:fill="auto"/>
            <w:tcMar>
              <w:top w:w="15" w:type="dxa"/>
              <w:left w:w="15" w:type="dxa"/>
              <w:bottom w:w="15" w:type="dxa"/>
              <w:right w:w="15" w:type="dxa"/>
            </w:tcMar>
            <w:vAlign w:val="center"/>
          </w:tcPr>
          <w:p>
            <w:pPr>
              <w:numPr>
                <w:ilvl w:val="0"/>
                <w:numId w:val="1"/>
              </w:numPr>
              <w:ind w:left="0" w:leftChars="0" w:firstLine="0" w:firstLineChars="0"/>
              <w:jc w:val="center"/>
              <w:rPr>
                <w:rFonts w:hint="eastAsia" w:ascii="宋体" w:hAnsi="宋体" w:eastAsia="宋体" w:cs="宋体"/>
                <w:lang w:val="en-US" w:eastAsia="zh-CN"/>
              </w:rPr>
            </w:pPr>
          </w:p>
        </w:tc>
        <w:tc>
          <w:tcPr>
            <w:tcW w:w="2881" w:type="dxa"/>
            <w:gridSpan w:val="3"/>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安全生产许可证有效期满未办理延期手续，继续进行生产</w:t>
            </w:r>
          </w:p>
        </w:tc>
        <w:tc>
          <w:tcPr>
            <w:tcW w:w="1104" w:type="dxa"/>
            <w:gridSpan w:val="2"/>
            <w:tcBorders>
              <w:top w:val="nil"/>
              <w:left w:val="nil"/>
              <w:bottom w:val="single" w:color="000000" w:sz="8" w:space="0"/>
              <w:right w:val="single" w:color="auto" w:sz="8"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eastAsia="zh-CN"/>
              </w:rPr>
              <w:t>区住建局</w:t>
            </w:r>
          </w:p>
        </w:tc>
        <w:tc>
          <w:tcPr>
            <w:tcW w:w="200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安全生产许可证有效期满1个月以下未办理延期手续，继续进行生产的</w:t>
            </w:r>
          </w:p>
        </w:tc>
        <w:tc>
          <w:tcPr>
            <w:tcW w:w="6301"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安全生产许可证条例》第二十条：违反本条例规定，安全生产许可证有效期满未办理延期手续，继续进行生产的，责令停止生产，限期补办延期手续，没收违法所得，并处5万元以上10万元以下的罚款；逾期仍不办理延期手续，继续进行生产的，依照本条例第十九条的规定处罚。</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第十九条：违反本条例规定，未取得安全生产许可证擅自进行生产的，责令停止生产，没收违法所得，并处10万元以上50万元以下的罚款；造成重大事故或者其他严重后果，构成犯罪的，依法追究刑事责任。</w:t>
            </w:r>
          </w:p>
        </w:tc>
        <w:tc>
          <w:tcPr>
            <w:tcW w:w="952" w:type="dxa"/>
            <w:tcBorders>
              <w:top w:val="nil"/>
              <w:left w:val="nil"/>
              <w:bottom w:val="single" w:color="000000" w:sz="8" w:space="0"/>
              <w:right w:val="single" w:color="000000" w:sz="12" w:space="0"/>
            </w:tcBorders>
            <w:shd w:val="clear" w:color="auto" w:fill="auto"/>
            <w:tcMar>
              <w:top w:w="15" w:type="dxa"/>
              <w:left w:w="15" w:type="dxa"/>
              <w:bottom w:w="15" w:type="dxa"/>
              <w:right w:w="15" w:type="dxa"/>
            </w:tcMar>
            <w:vAlign w:val="center"/>
          </w:tcPr>
          <w:p>
            <w:pPr>
              <w:widowControl/>
              <w:jc w:val="center"/>
              <w:rPr>
                <w:rFonts w:hint="eastAsia" w:asciiTheme="minorEastAsia" w:hAnsiTheme="minorEastAsia" w:eastAsiaTheme="minorEastAsia" w:cstheme="minorEastAsia"/>
                <w:kern w:val="0"/>
                <w:sz w:val="21"/>
                <w:szCs w:val="21"/>
              </w:rPr>
            </w:pPr>
          </w:p>
        </w:tc>
      </w:tr>
      <w:tr>
        <w:tblPrEx>
          <w:tblCellMar>
            <w:top w:w="0" w:type="dxa"/>
            <w:left w:w="0" w:type="dxa"/>
            <w:bottom w:w="0" w:type="dxa"/>
            <w:right w:w="0" w:type="dxa"/>
          </w:tblCellMar>
        </w:tblPrEx>
        <w:trPr>
          <w:trHeight w:val="567" w:hRule="atLeast"/>
          <w:jc w:val="center"/>
        </w:trPr>
        <w:tc>
          <w:tcPr>
            <w:tcW w:w="1168" w:type="dxa"/>
            <w:tcBorders>
              <w:top w:val="nil"/>
              <w:left w:val="single" w:color="000000" w:sz="12" w:space="0"/>
              <w:bottom w:val="single" w:color="000000" w:sz="8" w:space="0"/>
              <w:right w:val="single" w:color="000000" w:sz="8" w:space="0"/>
            </w:tcBorders>
            <w:shd w:val="clear" w:color="auto" w:fill="auto"/>
            <w:tcMar>
              <w:top w:w="15" w:type="dxa"/>
              <w:left w:w="15" w:type="dxa"/>
              <w:bottom w:w="15" w:type="dxa"/>
              <w:right w:w="15" w:type="dxa"/>
            </w:tcMar>
            <w:vAlign w:val="center"/>
          </w:tcPr>
          <w:p>
            <w:pPr>
              <w:numPr>
                <w:ilvl w:val="0"/>
                <w:numId w:val="1"/>
              </w:numPr>
              <w:ind w:left="0" w:leftChars="0" w:firstLine="0" w:firstLineChars="0"/>
              <w:jc w:val="center"/>
              <w:rPr>
                <w:rFonts w:hint="eastAsia" w:ascii="宋体" w:hAnsi="宋体" w:eastAsia="宋体" w:cs="宋体"/>
                <w:lang w:val="en-US" w:eastAsia="zh-CN"/>
              </w:rPr>
            </w:pPr>
          </w:p>
        </w:tc>
        <w:tc>
          <w:tcPr>
            <w:tcW w:w="2881" w:type="dxa"/>
            <w:gridSpan w:val="3"/>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转让安全生产许可证</w:t>
            </w:r>
          </w:p>
        </w:tc>
        <w:tc>
          <w:tcPr>
            <w:tcW w:w="1104" w:type="dxa"/>
            <w:gridSpan w:val="2"/>
            <w:tcBorders>
              <w:top w:val="nil"/>
              <w:left w:val="nil"/>
              <w:bottom w:val="single" w:color="000000" w:sz="8" w:space="0"/>
              <w:right w:val="single" w:color="auto" w:sz="8"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eastAsia="zh-CN"/>
              </w:rPr>
              <w:t>区住建局</w:t>
            </w:r>
          </w:p>
        </w:tc>
        <w:tc>
          <w:tcPr>
            <w:tcW w:w="200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未造成危害后果或造成轻微危害后果的</w:t>
            </w:r>
          </w:p>
        </w:tc>
        <w:tc>
          <w:tcPr>
            <w:tcW w:w="6301"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安全生产许可证条例》第二十一条：违反本条例规定，转让安全生产许可证的，没收违法所得，处10万元以上50万元以下的罚款，并吊销其安全生产许可证；构成犯罪的，依法追究刑事责任；接受转让的，依照本条例第十九条的规定处罚。冒用安全生产许可证或者使用伪造的安全生产许可证的，依照本条例第十九条的规定处罚。第十九条：违反本条例规定，未取得安全生产许可证擅自进行生产的，责令停止生产，没收违法所得，并处10万元以上50万元以下的罚款；造成重大事故或者其他严重后果，构成犯罪的，依法追究刑事责任。</w:t>
            </w:r>
          </w:p>
        </w:tc>
        <w:tc>
          <w:tcPr>
            <w:tcW w:w="952" w:type="dxa"/>
            <w:tcBorders>
              <w:top w:val="nil"/>
              <w:left w:val="nil"/>
              <w:bottom w:val="single" w:color="000000" w:sz="8" w:space="0"/>
              <w:right w:val="single" w:color="000000" w:sz="12" w:space="0"/>
            </w:tcBorders>
            <w:shd w:val="clear" w:color="auto" w:fill="auto"/>
            <w:tcMar>
              <w:top w:w="15" w:type="dxa"/>
              <w:left w:w="15" w:type="dxa"/>
              <w:bottom w:w="15" w:type="dxa"/>
              <w:right w:w="15" w:type="dxa"/>
            </w:tcMar>
            <w:vAlign w:val="center"/>
          </w:tcPr>
          <w:p>
            <w:pPr>
              <w:widowControl/>
              <w:jc w:val="center"/>
              <w:rPr>
                <w:rFonts w:hint="eastAsia" w:asciiTheme="minorEastAsia" w:hAnsiTheme="minorEastAsia" w:eastAsiaTheme="minorEastAsia" w:cstheme="minorEastAsia"/>
                <w:kern w:val="0"/>
                <w:sz w:val="21"/>
                <w:szCs w:val="21"/>
              </w:rPr>
            </w:pPr>
          </w:p>
        </w:tc>
      </w:tr>
      <w:tr>
        <w:tblPrEx>
          <w:tblCellMar>
            <w:top w:w="0" w:type="dxa"/>
            <w:left w:w="0" w:type="dxa"/>
            <w:bottom w:w="0" w:type="dxa"/>
            <w:right w:w="0" w:type="dxa"/>
          </w:tblCellMar>
        </w:tblPrEx>
        <w:trPr>
          <w:trHeight w:val="567" w:hRule="atLeast"/>
          <w:jc w:val="center"/>
        </w:trPr>
        <w:tc>
          <w:tcPr>
            <w:tcW w:w="1168" w:type="dxa"/>
            <w:tcBorders>
              <w:top w:val="nil"/>
              <w:left w:val="single" w:color="000000" w:sz="12" w:space="0"/>
              <w:bottom w:val="single" w:color="000000" w:sz="8" w:space="0"/>
              <w:right w:val="single" w:color="000000" w:sz="8" w:space="0"/>
            </w:tcBorders>
            <w:shd w:val="clear" w:color="auto" w:fill="auto"/>
            <w:tcMar>
              <w:top w:w="15" w:type="dxa"/>
              <w:left w:w="15" w:type="dxa"/>
              <w:bottom w:w="15" w:type="dxa"/>
              <w:right w:w="15" w:type="dxa"/>
            </w:tcMar>
            <w:vAlign w:val="center"/>
          </w:tcPr>
          <w:p>
            <w:pPr>
              <w:numPr>
                <w:ilvl w:val="0"/>
                <w:numId w:val="1"/>
              </w:numPr>
              <w:ind w:left="0" w:leftChars="0" w:firstLine="0" w:firstLineChars="0"/>
              <w:jc w:val="center"/>
              <w:rPr>
                <w:rFonts w:hint="eastAsia" w:ascii="宋体" w:hAnsi="宋体" w:eastAsia="宋体" w:cs="宋体"/>
                <w:lang w:val="en-US" w:eastAsia="zh-CN"/>
              </w:rPr>
            </w:pPr>
          </w:p>
        </w:tc>
        <w:tc>
          <w:tcPr>
            <w:tcW w:w="2881" w:type="dxa"/>
            <w:gridSpan w:val="3"/>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建筑施工企业不再具备安全生产条件的</w:t>
            </w:r>
          </w:p>
        </w:tc>
        <w:tc>
          <w:tcPr>
            <w:tcW w:w="1104" w:type="dxa"/>
            <w:gridSpan w:val="2"/>
            <w:tcBorders>
              <w:top w:val="nil"/>
              <w:left w:val="nil"/>
              <w:bottom w:val="single" w:color="000000" w:sz="8" w:space="0"/>
              <w:right w:val="single" w:color="auto" w:sz="8"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eastAsia="zh-CN"/>
              </w:rPr>
              <w:t>区住建局</w:t>
            </w:r>
          </w:p>
        </w:tc>
        <w:tc>
          <w:tcPr>
            <w:tcW w:w="200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发生一般事故的</w:t>
            </w:r>
          </w:p>
        </w:tc>
        <w:tc>
          <w:tcPr>
            <w:tcW w:w="6301"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《建筑施工企业安全生产许可证管理规定》第二十三条：建筑施工企业不再具备安全生产条件的，暂扣安全生产许可证并限期整改；情节严重的，吊销安全生产许可证。</w:t>
            </w:r>
          </w:p>
        </w:tc>
        <w:tc>
          <w:tcPr>
            <w:tcW w:w="952" w:type="dxa"/>
            <w:tcBorders>
              <w:top w:val="nil"/>
              <w:left w:val="nil"/>
              <w:bottom w:val="single" w:color="000000" w:sz="8" w:space="0"/>
              <w:right w:val="single" w:color="000000" w:sz="12" w:space="0"/>
            </w:tcBorders>
            <w:shd w:val="clear" w:color="auto" w:fill="auto"/>
            <w:tcMar>
              <w:top w:w="15" w:type="dxa"/>
              <w:left w:w="15" w:type="dxa"/>
              <w:bottom w:w="15" w:type="dxa"/>
              <w:right w:w="15" w:type="dxa"/>
            </w:tcMar>
            <w:vAlign w:val="center"/>
          </w:tcPr>
          <w:p>
            <w:pPr>
              <w:widowControl/>
              <w:jc w:val="center"/>
              <w:rPr>
                <w:rFonts w:hint="eastAsia" w:asciiTheme="minorEastAsia" w:hAnsiTheme="minorEastAsia" w:eastAsiaTheme="minorEastAsia" w:cstheme="minorEastAsia"/>
                <w:kern w:val="0"/>
                <w:sz w:val="21"/>
                <w:szCs w:val="21"/>
              </w:rPr>
            </w:pPr>
          </w:p>
        </w:tc>
      </w:tr>
      <w:tr>
        <w:tblPrEx>
          <w:tblCellMar>
            <w:top w:w="0" w:type="dxa"/>
            <w:left w:w="0" w:type="dxa"/>
            <w:bottom w:w="0" w:type="dxa"/>
            <w:right w:w="0" w:type="dxa"/>
          </w:tblCellMar>
        </w:tblPrEx>
        <w:trPr>
          <w:trHeight w:val="567" w:hRule="atLeast"/>
          <w:jc w:val="center"/>
        </w:trPr>
        <w:tc>
          <w:tcPr>
            <w:tcW w:w="1168" w:type="dxa"/>
            <w:tcBorders>
              <w:top w:val="nil"/>
              <w:left w:val="single" w:color="000000" w:sz="12" w:space="0"/>
              <w:bottom w:val="single" w:color="000000" w:sz="8" w:space="0"/>
              <w:right w:val="single" w:color="000000" w:sz="8" w:space="0"/>
            </w:tcBorders>
            <w:shd w:val="clear" w:color="auto" w:fill="auto"/>
            <w:tcMar>
              <w:top w:w="15" w:type="dxa"/>
              <w:left w:w="15" w:type="dxa"/>
              <w:bottom w:w="15" w:type="dxa"/>
              <w:right w:w="15" w:type="dxa"/>
            </w:tcMar>
            <w:vAlign w:val="center"/>
          </w:tcPr>
          <w:p>
            <w:pPr>
              <w:numPr>
                <w:ilvl w:val="0"/>
                <w:numId w:val="1"/>
              </w:numPr>
              <w:ind w:left="0" w:leftChars="0" w:firstLine="0" w:firstLineChars="0"/>
              <w:jc w:val="center"/>
              <w:rPr>
                <w:rFonts w:hint="eastAsia" w:ascii="宋体" w:hAnsi="宋体" w:eastAsia="宋体" w:cs="宋体"/>
                <w:lang w:val="en-US" w:eastAsia="zh-CN"/>
              </w:rPr>
            </w:pPr>
          </w:p>
        </w:tc>
        <w:tc>
          <w:tcPr>
            <w:tcW w:w="2881" w:type="dxa"/>
            <w:gridSpan w:val="3"/>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建筑施工企业未取得安全生产许可证擅自从事建筑施工活动</w:t>
            </w:r>
          </w:p>
        </w:tc>
        <w:tc>
          <w:tcPr>
            <w:tcW w:w="1104" w:type="dxa"/>
            <w:gridSpan w:val="2"/>
            <w:tcBorders>
              <w:top w:val="nil"/>
              <w:left w:val="nil"/>
              <w:bottom w:val="single" w:color="000000" w:sz="8" w:space="0"/>
              <w:right w:val="single" w:color="auto" w:sz="8"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eastAsia="zh-CN"/>
              </w:rPr>
              <w:t>区住建局</w:t>
            </w:r>
          </w:p>
        </w:tc>
        <w:tc>
          <w:tcPr>
            <w:tcW w:w="200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擅自从事建筑施工活动的时间1个月以下的</w:t>
            </w:r>
          </w:p>
        </w:tc>
        <w:tc>
          <w:tcPr>
            <w:tcW w:w="6301"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建筑施工企业安全生产许可证管理规定》第二十四条：违反本规定，建筑施工企业未取得安全生产许可证擅自从事建筑施工活动的，责令其在建项目停止施工，没收违法所得，并处10万元以上50万元以下的罚款；造成重大安全事故或者其他严重后果，构成犯罪的，依法追究刑事责任。</w:t>
            </w:r>
          </w:p>
        </w:tc>
        <w:tc>
          <w:tcPr>
            <w:tcW w:w="952" w:type="dxa"/>
            <w:tcBorders>
              <w:top w:val="nil"/>
              <w:left w:val="nil"/>
              <w:bottom w:val="single" w:color="000000" w:sz="8" w:space="0"/>
              <w:right w:val="single" w:color="000000" w:sz="12" w:space="0"/>
            </w:tcBorders>
            <w:shd w:val="clear" w:color="auto" w:fill="auto"/>
            <w:tcMar>
              <w:top w:w="15" w:type="dxa"/>
              <w:left w:w="15" w:type="dxa"/>
              <w:bottom w:w="15" w:type="dxa"/>
              <w:right w:w="15" w:type="dxa"/>
            </w:tcMar>
            <w:vAlign w:val="center"/>
          </w:tcPr>
          <w:p>
            <w:pPr>
              <w:widowControl/>
              <w:jc w:val="center"/>
              <w:rPr>
                <w:rFonts w:hint="eastAsia" w:asciiTheme="minorEastAsia" w:hAnsiTheme="minorEastAsia" w:eastAsiaTheme="minorEastAsia" w:cstheme="minorEastAsia"/>
                <w:kern w:val="0"/>
                <w:sz w:val="21"/>
                <w:szCs w:val="21"/>
              </w:rPr>
            </w:pPr>
          </w:p>
        </w:tc>
      </w:tr>
      <w:tr>
        <w:tblPrEx>
          <w:tblCellMar>
            <w:top w:w="0" w:type="dxa"/>
            <w:left w:w="0" w:type="dxa"/>
            <w:bottom w:w="0" w:type="dxa"/>
            <w:right w:w="0" w:type="dxa"/>
          </w:tblCellMar>
        </w:tblPrEx>
        <w:trPr>
          <w:trHeight w:val="567" w:hRule="atLeast"/>
          <w:jc w:val="center"/>
        </w:trPr>
        <w:tc>
          <w:tcPr>
            <w:tcW w:w="1168" w:type="dxa"/>
            <w:tcBorders>
              <w:top w:val="nil"/>
              <w:left w:val="single" w:color="000000" w:sz="12" w:space="0"/>
              <w:bottom w:val="single" w:color="000000" w:sz="8" w:space="0"/>
              <w:right w:val="single" w:color="000000" w:sz="8" w:space="0"/>
            </w:tcBorders>
            <w:shd w:val="clear" w:color="auto" w:fill="auto"/>
            <w:tcMar>
              <w:top w:w="15" w:type="dxa"/>
              <w:left w:w="15" w:type="dxa"/>
              <w:bottom w:w="15" w:type="dxa"/>
              <w:right w:w="15" w:type="dxa"/>
            </w:tcMar>
            <w:vAlign w:val="center"/>
          </w:tcPr>
          <w:p>
            <w:pPr>
              <w:numPr>
                <w:ilvl w:val="0"/>
                <w:numId w:val="1"/>
              </w:numPr>
              <w:ind w:left="0" w:leftChars="0" w:firstLine="0" w:firstLineChars="0"/>
              <w:jc w:val="center"/>
              <w:rPr>
                <w:rFonts w:hint="eastAsia" w:ascii="宋体" w:hAnsi="宋体" w:eastAsia="宋体" w:cs="宋体"/>
                <w:lang w:val="en-US" w:eastAsia="zh-CN"/>
              </w:rPr>
            </w:pPr>
          </w:p>
        </w:tc>
        <w:tc>
          <w:tcPr>
            <w:tcW w:w="2881" w:type="dxa"/>
            <w:gridSpan w:val="3"/>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安全生产许可证有效期满未办理延期手续，继续从事建筑施工活动</w:t>
            </w:r>
          </w:p>
        </w:tc>
        <w:tc>
          <w:tcPr>
            <w:tcW w:w="1104" w:type="dxa"/>
            <w:gridSpan w:val="2"/>
            <w:tcBorders>
              <w:top w:val="nil"/>
              <w:left w:val="nil"/>
              <w:bottom w:val="single" w:color="000000" w:sz="8" w:space="0"/>
              <w:right w:val="single" w:color="auto" w:sz="8"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eastAsia="zh-CN"/>
              </w:rPr>
              <w:t>区住建局</w:t>
            </w:r>
          </w:p>
        </w:tc>
        <w:tc>
          <w:tcPr>
            <w:tcW w:w="200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安全生产许可证有效期满1个月以下未办理延期手续，继续进行生产的</w:t>
            </w:r>
          </w:p>
        </w:tc>
        <w:tc>
          <w:tcPr>
            <w:tcW w:w="6301"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建筑施工企业安全生产许可证管理规定》第二十五条：违反本规定，安全生产许可证有效期满未办理延期手续，继续从事建筑施工活动的，责令其在建项目停止施工，限期补办延期手续，没收违法所得，并处5万元以上10万元以下的罚款；逾期仍不办理延期手续，继续从事建筑施工活动的，依照本规定第二十四条的规定处罚。</w:t>
            </w:r>
          </w:p>
        </w:tc>
        <w:tc>
          <w:tcPr>
            <w:tcW w:w="952" w:type="dxa"/>
            <w:tcBorders>
              <w:top w:val="nil"/>
              <w:left w:val="nil"/>
              <w:bottom w:val="single" w:color="000000" w:sz="8" w:space="0"/>
              <w:right w:val="single" w:color="000000" w:sz="12" w:space="0"/>
            </w:tcBorders>
            <w:shd w:val="clear" w:color="auto" w:fill="auto"/>
            <w:tcMar>
              <w:top w:w="15" w:type="dxa"/>
              <w:left w:w="15" w:type="dxa"/>
              <w:bottom w:w="15" w:type="dxa"/>
              <w:right w:w="15" w:type="dxa"/>
            </w:tcMar>
            <w:vAlign w:val="center"/>
          </w:tcPr>
          <w:p>
            <w:pPr>
              <w:widowControl/>
              <w:jc w:val="center"/>
              <w:rPr>
                <w:rFonts w:hint="eastAsia" w:asciiTheme="minorEastAsia" w:hAnsiTheme="minorEastAsia" w:eastAsiaTheme="minorEastAsia" w:cstheme="minorEastAsia"/>
                <w:kern w:val="0"/>
                <w:sz w:val="21"/>
                <w:szCs w:val="21"/>
              </w:rPr>
            </w:pPr>
          </w:p>
        </w:tc>
      </w:tr>
      <w:tr>
        <w:tblPrEx>
          <w:tblCellMar>
            <w:top w:w="0" w:type="dxa"/>
            <w:left w:w="0" w:type="dxa"/>
            <w:bottom w:w="0" w:type="dxa"/>
            <w:right w:w="0" w:type="dxa"/>
          </w:tblCellMar>
        </w:tblPrEx>
        <w:trPr>
          <w:trHeight w:val="567" w:hRule="atLeast"/>
          <w:jc w:val="center"/>
        </w:trPr>
        <w:tc>
          <w:tcPr>
            <w:tcW w:w="1168" w:type="dxa"/>
            <w:tcBorders>
              <w:top w:val="nil"/>
              <w:left w:val="single" w:color="000000" w:sz="12" w:space="0"/>
              <w:bottom w:val="single" w:color="000000" w:sz="8" w:space="0"/>
              <w:right w:val="single" w:color="000000" w:sz="8" w:space="0"/>
            </w:tcBorders>
            <w:shd w:val="clear" w:color="auto" w:fill="auto"/>
            <w:tcMar>
              <w:top w:w="15" w:type="dxa"/>
              <w:left w:w="15" w:type="dxa"/>
              <w:bottom w:w="15" w:type="dxa"/>
              <w:right w:w="15" w:type="dxa"/>
            </w:tcMar>
            <w:vAlign w:val="center"/>
          </w:tcPr>
          <w:p>
            <w:pPr>
              <w:numPr>
                <w:ilvl w:val="0"/>
                <w:numId w:val="1"/>
              </w:numPr>
              <w:ind w:left="0" w:leftChars="0" w:firstLine="0" w:firstLineChars="0"/>
              <w:jc w:val="center"/>
              <w:rPr>
                <w:rFonts w:hint="eastAsia" w:ascii="宋体" w:hAnsi="宋体" w:eastAsia="宋体" w:cs="宋体"/>
                <w:lang w:val="en-US" w:eastAsia="zh-CN"/>
              </w:rPr>
            </w:pPr>
          </w:p>
        </w:tc>
        <w:tc>
          <w:tcPr>
            <w:tcW w:w="2881" w:type="dxa"/>
            <w:gridSpan w:val="3"/>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建筑施工企业转让安全生产许可证</w:t>
            </w:r>
          </w:p>
        </w:tc>
        <w:tc>
          <w:tcPr>
            <w:tcW w:w="1104" w:type="dxa"/>
            <w:gridSpan w:val="2"/>
            <w:tcBorders>
              <w:top w:val="nil"/>
              <w:left w:val="nil"/>
              <w:bottom w:val="single" w:color="000000" w:sz="8" w:space="0"/>
              <w:right w:val="single" w:color="auto" w:sz="8"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eastAsia="zh-CN"/>
              </w:rPr>
              <w:t>区住建局</w:t>
            </w:r>
          </w:p>
        </w:tc>
        <w:tc>
          <w:tcPr>
            <w:tcW w:w="200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未造成危害后果或造成轻微危害后果的</w:t>
            </w:r>
          </w:p>
        </w:tc>
        <w:tc>
          <w:tcPr>
            <w:tcW w:w="6301"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建筑施工企业安全生产许可证管理规定》第二十六条：违反本规定，建筑施工企业转让安全生产许可证的，没收违法所得，处10万元以上50万元以下的罚款，并吊销安全生产许可证；构成犯罪的，依法追究刑事责任；接受转让的，依照本规定第二十四条的规定处罚。冒用安全生产许可证或者使用伪造的安全生产许可证的，依照本规定第二十四条的规定处罚。</w:t>
            </w:r>
          </w:p>
        </w:tc>
        <w:tc>
          <w:tcPr>
            <w:tcW w:w="952" w:type="dxa"/>
            <w:tcBorders>
              <w:top w:val="nil"/>
              <w:left w:val="nil"/>
              <w:bottom w:val="single" w:color="000000" w:sz="8" w:space="0"/>
              <w:right w:val="single" w:color="000000" w:sz="12" w:space="0"/>
            </w:tcBorders>
            <w:shd w:val="clear" w:color="auto" w:fill="auto"/>
            <w:tcMar>
              <w:top w:w="15" w:type="dxa"/>
              <w:left w:w="15" w:type="dxa"/>
              <w:bottom w:w="15" w:type="dxa"/>
              <w:right w:w="15" w:type="dxa"/>
            </w:tcMar>
            <w:vAlign w:val="center"/>
          </w:tcPr>
          <w:p>
            <w:pPr>
              <w:widowControl/>
              <w:jc w:val="center"/>
              <w:rPr>
                <w:rFonts w:hint="eastAsia" w:asciiTheme="minorEastAsia" w:hAnsiTheme="minorEastAsia" w:eastAsiaTheme="minorEastAsia" w:cstheme="minorEastAsia"/>
                <w:kern w:val="0"/>
                <w:sz w:val="21"/>
                <w:szCs w:val="21"/>
              </w:rPr>
            </w:pPr>
          </w:p>
        </w:tc>
      </w:tr>
      <w:tr>
        <w:tblPrEx>
          <w:tblCellMar>
            <w:top w:w="0" w:type="dxa"/>
            <w:left w:w="0" w:type="dxa"/>
            <w:bottom w:w="0" w:type="dxa"/>
            <w:right w:w="0" w:type="dxa"/>
          </w:tblCellMar>
        </w:tblPrEx>
        <w:trPr>
          <w:trHeight w:val="567" w:hRule="atLeast"/>
          <w:jc w:val="center"/>
        </w:trPr>
        <w:tc>
          <w:tcPr>
            <w:tcW w:w="1168" w:type="dxa"/>
            <w:tcBorders>
              <w:top w:val="nil"/>
              <w:left w:val="single" w:color="000000" w:sz="12" w:space="0"/>
              <w:bottom w:val="single" w:color="000000" w:sz="8" w:space="0"/>
              <w:right w:val="single" w:color="000000" w:sz="8" w:space="0"/>
            </w:tcBorders>
            <w:shd w:val="clear" w:color="auto" w:fill="auto"/>
            <w:tcMar>
              <w:top w:w="15" w:type="dxa"/>
              <w:left w:w="15" w:type="dxa"/>
              <w:bottom w:w="15" w:type="dxa"/>
              <w:right w:w="15" w:type="dxa"/>
            </w:tcMar>
            <w:vAlign w:val="center"/>
          </w:tcPr>
          <w:p>
            <w:pPr>
              <w:numPr>
                <w:ilvl w:val="0"/>
                <w:numId w:val="1"/>
              </w:numPr>
              <w:ind w:left="0" w:leftChars="0" w:firstLine="0" w:firstLineChars="0"/>
              <w:jc w:val="center"/>
              <w:rPr>
                <w:rFonts w:hint="eastAsia" w:ascii="宋体" w:hAnsi="宋体" w:eastAsia="宋体" w:cs="宋体"/>
                <w:lang w:val="en-US" w:eastAsia="zh-CN"/>
              </w:rPr>
            </w:pPr>
          </w:p>
        </w:tc>
        <w:tc>
          <w:tcPr>
            <w:tcW w:w="2881" w:type="dxa"/>
            <w:gridSpan w:val="3"/>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出租单位、自购建筑起重机械的使用单位未按照规定办理备案</w:t>
            </w:r>
          </w:p>
        </w:tc>
        <w:tc>
          <w:tcPr>
            <w:tcW w:w="1104" w:type="dxa"/>
            <w:gridSpan w:val="2"/>
            <w:tcBorders>
              <w:top w:val="nil"/>
              <w:left w:val="nil"/>
              <w:bottom w:val="single" w:color="000000" w:sz="8" w:space="0"/>
              <w:right w:val="single" w:color="auto" w:sz="8"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eastAsia="zh-CN"/>
              </w:rPr>
              <w:t>区住建局</w:t>
            </w:r>
          </w:p>
        </w:tc>
        <w:tc>
          <w:tcPr>
            <w:tcW w:w="200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1台建筑起重机械未按照规定办理备案的</w:t>
            </w:r>
          </w:p>
        </w:tc>
        <w:tc>
          <w:tcPr>
            <w:tcW w:w="6301"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建筑起重机械安全监督管理规定》第二十八条：违反本规定，出租单位、自购建筑起重机械的使用单位，有下列行为之一的，由县级以上地方人民政府建设主管部门责令限期改正，予以警告，并处以5000元以上1万元以下罚款：（一）未按照规定办理备案的；（二）未按照规定办理注销手续的；（三）未按照规定建立建筑起重机械安全技术档案的。</w:t>
            </w:r>
          </w:p>
        </w:tc>
        <w:tc>
          <w:tcPr>
            <w:tcW w:w="952" w:type="dxa"/>
            <w:tcBorders>
              <w:top w:val="nil"/>
              <w:left w:val="nil"/>
              <w:bottom w:val="single" w:color="000000" w:sz="8" w:space="0"/>
              <w:right w:val="single" w:color="000000" w:sz="12" w:space="0"/>
            </w:tcBorders>
            <w:shd w:val="clear" w:color="auto" w:fill="auto"/>
            <w:tcMar>
              <w:top w:w="15" w:type="dxa"/>
              <w:left w:w="15" w:type="dxa"/>
              <w:bottom w:w="15" w:type="dxa"/>
              <w:right w:w="15" w:type="dxa"/>
            </w:tcMar>
            <w:vAlign w:val="center"/>
          </w:tcPr>
          <w:p>
            <w:pPr>
              <w:widowControl/>
              <w:jc w:val="center"/>
              <w:rPr>
                <w:rFonts w:hint="eastAsia" w:asciiTheme="minorEastAsia" w:hAnsiTheme="minorEastAsia" w:eastAsiaTheme="minorEastAsia" w:cstheme="minorEastAsia"/>
                <w:kern w:val="0"/>
                <w:sz w:val="21"/>
                <w:szCs w:val="21"/>
              </w:rPr>
            </w:pPr>
          </w:p>
        </w:tc>
      </w:tr>
      <w:tr>
        <w:tblPrEx>
          <w:tblCellMar>
            <w:top w:w="0" w:type="dxa"/>
            <w:left w:w="0" w:type="dxa"/>
            <w:bottom w:w="0" w:type="dxa"/>
            <w:right w:w="0" w:type="dxa"/>
          </w:tblCellMar>
        </w:tblPrEx>
        <w:trPr>
          <w:trHeight w:val="567" w:hRule="atLeast"/>
          <w:jc w:val="center"/>
        </w:trPr>
        <w:tc>
          <w:tcPr>
            <w:tcW w:w="1168" w:type="dxa"/>
            <w:tcBorders>
              <w:top w:val="nil"/>
              <w:left w:val="single" w:color="000000" w:sz="12" w:space="0"/>
              <w:bottom w:val="single" w:color="000000" w:sz="8" w:space="0"/>
              <w:right w:val="single" w:color="000000" w:sz="8" w:space="0"/>
            </w:tcBorders>
            <w:shd w:val="clear" w:color="auto" w:fill="auto"/>
            <w:tcMar>
              <w:top w:w="15" w:type="dxa"/>
              <w:left w:w="15" w:type="dxa"/>
              <w:bottom w:w="15" w:type="dxa"/>
              <w:right w:w="15" w:type="dxa"/>
            </w:tcMar>
            <w:vAlign w:val="center"/>
          </w:tcPr>
          <w:p>
            <w:pPr>
              <w:numPr>
                <w:ilvl w:val="0"/>
                <w:numId w:val="1"/>
              </w:numPr>
              <w:ind w:left="0" w:leftChars="0" w:firstLine="0" w:firstLineChars="0"/>
              <w:jc w:val="center"/>
              <w:rPr>
                <w:rFonts w:hint="eastAsia" w:ascii="宋体" w:hAnsi="宋体" w:eastAsia="宋体" w:cs="宋体"/>
                <w:lang w:val="en-US" w:eastAsia="zh-CN"/>
              </w:rPr>
            </w:pPr>
          </w:p>
        </w:tc>
        <w:tc>
          <w:tcPr>
            <w:tcW w:w="2881" w:type="dxa"/>
            <w:gridSpan w:val="3"/>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出租单位、自购建筑起重机械的使用单位未按照规定办理注销手续</w:t>
            </w:r>
          </w:p>
        </w:tc>
        <w:tc>
          <w:tcPr>
            <w:tcW w:w="1104" w:type="dxa"/>
            <w:gridSpan w:val="2"/>
            <w:tcBorders>
              <w:top w:val="nil"/>
              <w:left w:val="nil"/>
              <w:bottom w:val="single" w:color="000000" w:sz="8" w:space="0"/>
              <w:right w:val="single" w:color="auto" w:sz="8"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eastAsia="zh-CN"/>
              </w:rPr>
              <w:t>区住建局</w:t>
            </w:r>
          </w:p>
        </w:tc>
        <w:tc>
          <w:tcPr>
            <w:tcW w:w="200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1台建筑起重机械未按照规定办理注销手续的</w:t>
            </w:r>
          </w:p>
        </w:tc>
        <w:tc>
          <w:tcPr>
            <w:tcW w:w="6301"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建筑起重机械安全监督管理规定》第二十八条：违反本规定，出租单位、自购建筑起重机械的使用单位，有下列行为之一的，由县级以上地方人民政府建设主管部门责令限期改正，予以警告，并处以5000元以上1万元以下罚款：（一）未按照规定办理备案的；（二）未按照规定办理注销手续的；（三）未按照规定建立建筑起重机械安全技术档案的。</w:t>
            </w:r>
          </w:p>
        </w:tc>
        <w:tc>
          <w:tcPr>
            <w:tcW w:w="952" w:type="dxa"/>
            <w:tcBorders>
              <w:top w:val="nil"/>
              <w:left w:val="nil"/>
              <w:bottom w:val="single" w:color="000000" w:sz="8" w:space="0"/>
              <w:right w:val="single" w:color="000000" w:sz="12" w:space="0"/>
            </w:tcBorders>
            <w:shd w:val="clear" w:color="auto" w:fill="auto"/>
            <w:tcMar>
              <w:top w:w="15" w:type="dxa"/>
              <w:left w:w="15" w:type="dxa"/>
              <w:bottom w:w="15" w:type="dxa"/>
              <w:right w:w="15" w:type="dxa"/>
            </w:tcMar>
            <w:vAlign w:val="center"/>
          </w:tcPr>
          <w:p>
            <w:pPr>
              <w:widowControl/>
              <w:jc w:val="center"/>
              <w:rPr>
                <w:rFonts w:hint="eastAsia" w:asciiTheme="minorEastAsia" w:hAnsiTheme="minorEastAsia" w:eastAsiaTheme="minorEastAsia" w:cstheme="minorEastAsia"/>
                <w:kern w:val="0"/>
                <w:sz w:val="21"/>
                <w:szCs w:val="21"/>
              </w:rPr>
            </w:pPr>
          </w:p>
        </w:tc>
      </w:tr>
      <w:tr>
        <w:tblPrEx>
          <w:tblCellMar>
            <w:top w:w="0" w:type="dxa"/>
            <w:left w:w="0" w:type="dxa"/>
            <w:bottom w:w="0" w:type="dxa"/>
            <w:right w:w="0" w:type="dxa"/>
          </w:tblCellMar>
        </w:tblPrEx>
        <w:trPr>
          <w:trHeight w:val="567" w:hRule="atLeast"/>
          <w:jc w:val="center"/>
        </w:trPr>
        <w:tc>
          <w:tcPr>
            <w:tcW w:w="1168" w:type="dxa"/>
            <w:tcBorders>
              <w:top w:val="nil"/>
              <w:left w:val="single" w:color="000000" w:sz="12" w:space="0"/>
              <w:bottom w:val="single" w:color="000000" w:sz="8" w:space="0"/>
              <w:right w:val="single" w:color="000000" w:sz="8" w:space="0"/>
            </w:tcBorders>
            <w:shd w:val="clear" w:color="auto" w:fill="auto"/>
            <w:tcMar>
              <w:top w:w="15" w:type="dxa"/>
              <w:left w:w="15" w:type="dxa"/>
              <w:bottom w:w="15" w:type="dxa"/>
              <w:right w:w="15" w:type="dxa"/>
            </w:tcMar>
            <w:vAlign w:val="center"/>
          </w:tcPr>
          <w:p>
            <w:pPr>
              <w:numPr>
                <w:ilvl w:val="0"/>
                <w:numId w:val="1"/>
              </w:numPr>
              <w:ind w:left="0" w:leftChars="0" w:firstLine="0" w:firstLineChars="0"/>
              <w:jc w:val="center"/>
              <w:rPr>
                <w:rFonts w:hint="eastAsia" w:ascii="宋体" w:hAnsi="宋体" w:eastAsia="宋体" w:cs="宋体"/>
                <w:lang w:val="en-US" w:eastAsia="zh-CN"/>
              </w:rPr>
            </w:pPr>
          </w:p>
        </w:tc>
        <w:tc>
          <w:tcPr>
            <w:tcW w:w="2881" w:type="dxa"/>
            <w:gridSpan w:val="3"/>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出租单位、自购建筑起重机械的使用单位未按照规定建立建筑起重机械安全技术档案</w:t>
            </w:r>
          </w:p>
        </w:tc>
        <w:tc>
          <w:tcPr>
            <w:tcW w:w="1104" w:type="dxa"/>
            <w:gridSpan w:val="2"/>
            <w:tcBorders>
              <w:top w:val="nil"/>
              <w:left w:val="nil"/>
              <w:bottom w:val="single" w:color="000000" w:sz="8" w:space="0"/>
              <w:right w:val="single" w:color="auto" w:sz="8"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eastAsia="zh-CN"/>
              </w:rPr>
              <w:t>区住建局</w:t>
            </w:r>
          </w:p>
        </w:tc>
        <w:tc>
          <w:tcPr>
            <w:tcW w:w="200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1台建筑起重机械未按照规定建立建筑起重机械安全技术档案的</w:t>
            </w:r>
          </w:p>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p>
        </w:tc>
        <w:tc>
          <w:tcPr>
            <w:tcW w:w="6301"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建筑起重机械安全监督管理规定》第二十八条：违反本规定，出租单位、自购建筑起重机械的使用单位，有下列行为之一的，由县级以上地方人民政府建设主管部门责令限期改正，予以警告，并处以5000元以上1万元以下罚款：（一）未按照规定办理备案的；（二）未按照规定办理注销手续的；（三）未按照规定建立建筑起重机械安全技术档案的。</w:t>
            </w:r>
          </w:p>
        </w:tc>
        <w:tc>
          <w:tcPr>
            <w:tcW w:w="952" w:type="dxa"/>
            <w:tcBorders>
              <w:top w:val="nil"/>
              <w:left w:val="nil"/>
              <w:bottom w:val="single" w:color="000000" w:sz="8" w:space="0"/>
              <w:right w:val="single" w:color="000000" w:sz="12" w:space="0"/>
            </w:tcBorders>
            <w:shd w:val="clear" w:color="auto" w:fill="auto"/>
            <w:tcMar>
              <w:top w:w="15" w:type="dxa"/>
              <w:left w:w="15" w:type="dxa"/>
              <w:bottom w:w="15" w:type="dxa"/>
              <w:right w:w="15" w:type="dxa"/>
            </w:tcMar>
            <w:vAlign w:val="center"/>
          </w:tcPr>
          <w:p>
            <w:pPr>
              <w:widowControl/>
              <w:jc w:val="center"/>
              <w:rPr>
                <w:rFonts w:hint="eastAsia" w:asciiTheme="minorEastAsia" w:hAnsiTheme="minorEastAsia" w:eastAsiaTheme="minorEastAsia" w:cstheme="minorEastAsia"/>
                <w:kern w:val="0"/>
                <w:sz w:val="21"/>
                <w:szCs w:val="21"/>
              </w:rPr>
            </w:pPr>
          </w:p>
        </w:tc>
      </w:tr>
      <w:tr>
        <w:tblPrEx>
          <w:tblCellMar>
            <w:top w:w="0" w:type="dxa"/>
            <w:left w:w="0" w:type="dxa"/>
            <w:bottom w:w="0" w:type="dxa"/>
            <w:right w:w="0" w:type="dxa"/>
          </w:tblCellMar>
        </w:tblPrEx>
        <w:trPr>
          <w:trHeight w:val="567" w:hRule="atLeast"/>
          <w:jc w:val="center"/>
        </w:trPr>
        <w:tc>
          <w:tcPr>
            <w:tcW w:w="1168" w:type="dxa"/>
            <w:tcBorders>
              <w:top w:val="nil"/>
              <w:left w:val="single" w:color="000000" w:sz="12" w:space="0"/>
              <w:bottom w:val="single" w:color="000000" w:sz="8" w:space="0"/>
              <w:right w:val="single" w:color="000000" w:sz="8" w:space="0"/>
            </w:tcBorders>
            <w:shd w:val="clear" w:color="auto" w:fill="auto"/>
            <w:tcMar>
              <w:top w:w="15" w:type="dxa"/>
              <w:left w:w="15" w:type="dxa"/>
              <w:bottom w:w="15" w:type="dxa"/>
              <w:right w:w="15" w:type="dxa"/>
            </w:tcMar>
            <w:vAlign w:val="center"/>
          </w:tcPr>
          <w:p>
            <w:pPr>
              <w:numPr>
                <w:ilvl w:val="0"/>
                <w:numId w:val="1"/>
              </w:numPr>
              <w:ind w:left="0" w:leftChars="0" w:firstLine="0" w:firstLineChars="0"/>
              <w:jc w:val="center"/>
              <w:rPr>
                <w:rFonts w:hint="eastAsia" w:ascii="宋体" w:hAnsi="宋体" w:eastAsia="宋体" w:cs="宋体"/>
                <w:lang w:val="en-US" w:eastAsia="zh-CN"/>
              </w:rPr>
            </w:pPr>
          </w:p>
        </w:tc>
        <w:tc>
          <w:tcPr>
            <w:tcW w:w="2881" w:type="dxa"/>
            <w:gridSpan w:val="3"/>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未履行《建筑起重机械安全监督管理规定》第十二条第（二）、（四）、（五）项安全职责</w:t>
            </w:r>
          </w:p>
        </w:tc>
        <w:tc>
          <w:tcPr>
            <w:tcW w:w="1104" w:type="dxa"/>
            <w:gridSpan w:val="2"/>
            <w:tcBorders>
              <w:top w:val="nil"/>
              <w:left w:val="nil"/>
              <w:bottom w:val="single" w:color="000000" w:sz="8" w:space="0"/>
              <w:right w:val="single" w:color="auto" w:sz="8"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eastAsia="zh-CN"/>
              </w:rPr>
              <w:t>区住建局</w:t>
            </w:r>
          </w:p>
        </w:tc>
        <w:tc>
          <w:tcPr>
            <w:tcW w:w="200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未将1台建筑起重机械安装、拆卸工程专项施工方案，安装、拆卸人员名单，安装、拆卸时间等材料报施工总承包单位和监理单位审核后，告知工程所在地县级以上地方人民政府建设主管部门</w:t>
            </w:r>
          </w:p>
        </w:tc>
        <w:tc>
          <w:tcPr>
            <w:tcW w:w="6301"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建筑起重机械安全监督管理规定》第二十九条：违反本规定，安装单位有下列行为之一的，由县级以上地方人民政府建设主管部门责令限期改正，予以警告，并处以5000元以上3万元以下罚款：（一）未履行第十二条第（二）、（四）、（五）项安全职责的；（二）未按照规定建立建筑起重机械安装、拆卸工程档案的；（三）未按照建筑起重机械安装、拆卸工程专项施工方案及安全操作规程组织安装、拆卸作业的。</w:t>
            </w:r>
          </w:p>
        </w:tc>
        <w:tc>
          <w:tcPr>
            <w:tcW w:w="952" w:type="dxa"/>
            <w:tcBorders>
              <w:top w:val="nil"/>
              <w:left w:val="nil"/>
              <w:bottom w:val="single" w:color="000000" w:sz="8" w:space="0"/>
              <w:right w:val="single" w:color="000000" w:sz="12" w:space="0"/>
            </w:tcBorders>
            <w:shd w:val="clear" w:color="auto" w:fill="auto"/>
            <w:tcMar>
              <w:top w:w="15" w:type="dxa"/>
              <w:left w:w="15" w:type="dxa"/>
              <w:bottom w:w="15" w:type="dxa"/>
              <w:right w:w="15" w:type="dxa"/>
            </w:tcMar>
            <w:vAlign w:val="center"/>
          </w:tcPr>
          <w:p>
            <w:pPr>
              <w:widowControl/>
              <w:jc w:val="center"/>
              <w:rPr>
                <w:rFonts w:hint="eastAsia" w:asciiTheme="minorEastAsia" w:hAnsiTheme="minorEastAsia" w:eastAsiaTheme="minorEastAsia" w:cstheme="minorEastAsia"/>
                <w:kern w:val="0"/>
                <w:sz w:val="21"/>
                <w:szCs w:val="21"/>
              </w:rPr>
            </w:pPr>
          </w:p>
        </w:tc>
      </w:tr>
      <w:tr>
        <w:tblPrEx>
          <w:tblCellMar>
            <w:top w:w="0" w:type="dxa"/>
            <w:left w:w="0" w:type="dxa"/>
            <w:bottom w:w="0" w:type="dxa"/>
            <w:right w:w="0" w:type="dxa"/>
          </w:tblCellMar>
        </w:tblPrEx>
        <w:trPr>
          <w:trHeight w:val="567" w:hRule="atLeast"/>
          <w:jc w:val="center"/>
        </w:trPr>
        <w:tc>
          <w:tcPr>
            <w:tcW w:w="1168" w:type="dxa"/>
            <w:tcBorders>
              <w:top w:val="nil"/>
              <w:left w:val="single" w:color="000000" w:sz="12" w:space="0"/>
              <w:bottom w:val="single" w:color="000000" w:sz="8" w:space="0"/>
              <w:right w:val="single" w:color="000000" w:sz="8" w:space="0"/>
            </w:tcBorders>
            <w:shd w:val="clear" w:color="auto" w:fill="auto"/>
            <w:tcMar>
              <w:top w:w="15" w:type="dxa"/>
              <w:left w:w="15" w:type="dxa"/>
              <w:bottom w:w="15" w:type="dxa"/>
              <w:right w:w="15" w:type="dxa"/>
            </w:tcMar>
            <w:vAlign w:val="center"/>
          </w:tcPr>
          <w:p>
            <w:pPr>
              <w:numPr>
                <w:ilvl w:val="0"/>
                <w:numId w:val="1"/>
              </w:numPr>
              <w:ind w:left="0" w:leftChars="0" w:firstLine="0" w:firstLineChars="0"/>
              <w:jc w:val="center"/>
              <w:rPr>
                <w:rFonts w:hint="eastAsia" w:ascii="宋体" w:hAnsi="宋体" w:eastAsia="宋体" w:cs="宋体"/>
                <w:lang w:val="en-US" w:eastAsia="zh-CN"/>
              </w:rPr>
            </w:pPr>
          </w:p>
        </w:tc>
        <w:tc>
          <w:tcPr>
            <w:tcW w:w="2881" w:type="dxa"/>
            <w:gridSpan w:val="3"/>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未按照规定建立建筑起重机械安装、拆卸工程档案</w:t>
            </w:r>
          </w:p>
        </w:tc>
        <w:tc>
          <w:tcPr>
            <w:tcW w:w="1104" w:type="dxa"/>
            <w:gridSpan w:val="2"/>
            <w:tcBorders>
              <w:top w:val="nil"/>
              <w:left w:val="nil"/>
              <w:bottom w:val="single" w:color="000000" w:sz="8" w:space="0"/>
              <w:right w:val="single" w:color="auto" w:sz="8"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eastAsia="zh-CN"/>
              </w:rPr>
              <w:t>区住建局</w:t>
            </w:r>
          </w:p>
        </w:tc>
        <w:tc>
          <w:tcPr>
            <w:tcW w:w="200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未按照规定建立1台建筑起重机械安装、拆卸工程档案的</w:t>
            </w:r>
          </w:p>
        </w:tc>
        <w:tc>
          <w:tcPr>
            <w:tcW w:w="6301"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建筑起重机械安全监督管理规定》第二十九条：违反本规定，安装单位有下列行为之一的，由县级以上地方人民政府建设主管部门责令限期改正，予以警告，并处以5000元以上3万元以下罚款：（一）未履行第十二条第（二）、（四）、（五）项安全职责的；（二）未按照规定建立建筑起重机械安装、拆卸工程档案的；（三）未按照建筑起重机械安装、拆卸工程专项施工方案及安全操作规程组织安装、拆卸作业的。</w:t>
            </w:r>
          </w:p>
        </w:tc>
        <w:tc>
          <w:tcPr>
            <w:tcW w:w="952" w:type="dxa"/>
            <w:tcBorders>
              <w:top w:val="nil"/>
              <w:left w:val="nil"/>
              <w:bottom w:val="single" w:color="000000" w:sz="8" w:space="0"/>
              <w:right w:val="single" w:color="000000" w:sz="12" w:space="0"/>
            </w:tcBorders>
            <w:shd w:val="clear" w:color="auto" w:fill="auto"/>
            <w:tcMar>
              <w:top w:w="15" w:type="dxa"/>
              <w:left w:w="15" w:type="dxa"/>
              <w:bottom w:w="15" w:type="dxa"/>
              <w:right w:w="15" w:type="dxa"/>
            </w:tcMar>
            <w:vAlign w:val="center"/>
          </w:tcPr>
          <w:p>
            <w:pPr>
              <w:widowControl/>
              <w:jc w:val="center"/>
              <w:rPr>
                <w:rFonts w:hint="eastAsia" w:asciiTheme="minorEastAsia" w:hAnsiTheme="minorEastAsia" w:eastAsiaTheme="minorEastAsia" w:cstheme="minorEastAsia"/>
                <w:kern w:val="0"/>
                <w:sz w:val="21"/>
                <w:szCs w:val="21"/>
              </w:rPr>
            </w:pPr>
          </w:p>
        </w:tc>
      </w:tr>
      <w:tr>
        <w:tblPrEx>
          <w:tblCellMar>
            <w:top w:w="0" w:type="dxa"/>
            <w:left w:w="0" w:type="dxa"/>
            <w:bottom w:w="0" w:type="dxa"/>
            <w:right w:w="0" w:type="dxa"/>
          </w:tblCellMar>
        </w:tblPrEx>
        <w:trPr>
          <w:trHeight w:val="567" w:hRule="atLeast"/>
          <w:jc w:val="center"/>
        </w:trPr>
        <w:tc>
          <w:tcPr>
            <w:tcW w:w="1168" w:type="dxa"/>
            <w:tcBorders>
              <w:top w:val="nil"/>
              <w:left w:val="single" w:color="000000" w:sz="12" w:space="0"/>
              <w:bottom w:val="single" w:color="000000" w:sz="8" w:space="0"/>
              <w:right w:val="single" w:color="000000" w:sz="8" w:space="0"/>
            </w:tcBorders>
            <w:shd w:val="clear" w:color="auto" w:fill="auto"/>
            <w:tcMar>
              <w:top w:w="15" w:type="dxa"/>
              <w:left w:w="15" w:type="dxa"/>
              <w:bottom w:w="15" w:type="dxa"/>
              <w:right w:w="15" w:type="dxa"/>
            </w:tcMar>
            <w:vAlign w:val="center"/>
          </w:tcPr>
          <w:p>
            <w:pPr>
              <w:numPr>
                <w:ilvl w:val="0"/>
                <w:numId w:val="1"/>
              </w:numPr>
              <w:ind w:left="0" w:leftChars="0" w:firstLine="0" w:firstLineChars="0"/>
              <w:jc w:val="center"/>
              <w:rPr>
                <w:rFonts w:hint="eastAsia" w:ascii="宋体" w:hAnsi="宋体" w:eastAsia="宋体" w:cs="宋体"/>
                <w:lang w:val="en-US" w:eastAsia="zh-CN"/>
              </w:rPr>
            </w:pPr>
          </w:p>
        </w:tc>
        <w:tc>
          <w:tcPr>
            <w:tcW w:w="2881" w:type="dxa"/>
            <w:gridSpan w:val="3"/>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未按照建筑起重机械安装、拆卸工程专项施工方案及安全操作规程组织安装、拆卸作业</w:t>
            </w:r>
          </w:p>
        </w:tc>
        <w:tc>
          <w:tcPr>
            <w:tcW w:w="1104" w:type="dxa"/>
            <w:gridSpan w:val="2"/>
            <w:tcBorders>
              <w:top w:val="nil"/>
              <w:left w:val="nil"/>
              <w:bottom w:val="single" w:color="000000" w:sz="8" w:space="0"/>
              <w:right w:val="single" w:color="auto" w:sz="8"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eastAsia="zh-CN"/>
              </w:rPr>
              <w:t>区住建局</w:t>
            </w:r>
          </w:p>
        </w:tc>
        <w:tc>
          <w:tcPr>
            <w:tcW w:w="200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有1台建筑起重机械未按照建筑起重机械安装、拆卸工程专项施工方案及安全操作规程组织安装、拆卸作业的</w:t>
            </w:r>
          </w:p>
        </w:tc>
        <w:tc>
          <w:tcPr>
            <w:tcW w:w="6301"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建筑起重机械安全监督管理规定》第二十九条：违反本规定，安装单位有下列行为之一的，由县级以上地方人民政府建设主管部门责令限期改正，予以警告，并处以5000元以上3万元以下罚款：（一）未履行第十二条第（二）、（四）、（五）项安全职责的；（二）未按照规定建立建筑起重机械安装、拆卸工程档案的；（三）未按照建筑起重机械安装、拆卸工程专项施工方案及安全操作规程组织安装、拆卸作业的。</w:t>
            </w:r>
          </w:p>
        </w:tc>
        <w:tc>
          <w:tcPr>
            <w:tcW w:w="952" w:type="dxa"/>
            <w:tcBorders>
              <w:top w:val="nil"/>
              <w:left w:val="nil"/>
              <w:bottom w:val="single" w:color="000000" w:sz="8" w:space="0"/>
              <w:right w:val="single" w:color="000000" w:sz="12" w:space="0"/>
            </w:tcBorders>
            <w:shd w:val="clear" w:color="auto" w:fill="auto"/>
            <w:tcMar>
              <w:top w:w="15" w:type="dxa"/>
              <w:left w:w="15" w:type="dxa"/>
              <w:bottom w:w="15" w:type="dxa"/>
              <w:right w:w="15" w:type="dxa"/>
            </w:tcMar>
            <w:vAlign w:val="center"/>
          </w:tcPr>
          <w:p>
            <w:pPr>
              <w:widowControl/>
              <w:jc w:val="center"/>
              <w:rPr>
                <w:rFonts w:hint="eastAsia" w:asciiTheme="minorEastAsia" w:hAnsiTheme="minorEastAsia" w:eastAsiaTheme="minorEastAsia" w:cstheme="minorEastAsia"/>
                <w:kern w:val="0"/>
                <w:sz w:val="21"/>
                <w:szCs w:val="21"/>
              </w:rPr>
            </w:pPr>
          </w:p>
        </w:tc>
      </w:tr>
      <w:tr>
        <w:tblPrEx>
          <w:tblCellMar>
            <w:top w:w="0" w:type="dxa"/>
            <w:left w:w="0" w:type="dxa"/>
            <w:bottom w:w="0" w:type="dxa"/>
            <w:right w:w="0" w:type="dxa"/>
          </w:tblCellMar>
        </w:tblPrEx>
        <w:trPr>
          <w:trHeight w:val="567" w:hRule="atLeast"/>
          <w:jc w:val="center"/>
        </w:trPr>
        <w:tc>
          <w:tcPr>
            <w:tcW w:w="1168" w:type="dxa"/>
            <w:tcBorders>
              <w:top w:val="nil"/>
              <w:left w:val="single" w:color="000000" w:sz="12" w:space="0"/>
              <w:bottom w:val="single" w:color="000000" w:sz="8" w:space="0"/>
              <w:right w:val="single" w:color="000000" w:sz="8" w:space="0"/>
            </w:tcBorders>
            <w:shd w:val="clear" w:color="auto" w:fill="auto"/>
            <w:tcMar>
              <w:top w:w="15" w:type="dxa"/>
              <w:left w:w="15" w:type="dxa"/>
              <w:bottom w:w="15" w:type="dxa"/>
              <w:right w:w="15" w:type="dxa"/>
            </w:tcMar>
            <w:vAlign w:val="center"/>
          </w:tcPr>
          <w:p>
            <w:pPr>
              <w:numPr>
                <w:ilvl w:val="0"/>
                <w:numId w:val="1"/>
              </w:numPr>
              <w:ind w:left="0" w:leftChars="0" w:firstLine="0" w:firstLineChars="0"/>
              <w:jc w:val="center"/>
              <w:rPr>
                <w:rFonts w:hint="eastAsia" w:ascii="宋体" w:hAnsi="宋体" w:eastAsia="宋体" w:cs="宋体"/>
                <w:lang w:val="en-US" w:eastAsia="zh-CN"/>
              </w:rPr>
            </w:pPr>
          </w:p>
        </w:tc>
        <w:tc>
          <w:tcPr>
            <w:tcW w:w="2881" w:type="dxa"/>
            <w:gridSpan w:val="3"/>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未履行《建筑起重机械安全监督管理规定》第十八条第（一）、（二）、（四）、（六）项安全职责的</w:t>
            </w:r>
          </w:p>
        </w:tc>
        <w:tc>
          <w:tcPr>
            <w:tcW w:w="1104" w:type="dxa"/>
            <w:gridSpan w:val="2"/>
            <w:tcBorders>
              <w:top w:val="nil"/>
              <w:left w:val="nil"/>
              <w:bottom w:val="single" w:color="000000" w:sz="8" w:space="0"/>
              <w:right w:val="single" w:color="auto" w:sz="8"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eastAsia="zh-CN"/>
              </w:rPr>
              <w:t>区住建局</w:t>
            </w:r>
          </w:p>
        </w:tc>
        <w:tc>
          <w:tcPr>
            <w:tcW w:w="200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未制定生产安全事故应急救援预案的建筑起重机械数量1台的</w:t>
            </w:r>
          </w:p>
        </w:tc>
        <w:tc>
          <w:tcPr>
            <w:tcW w:w="6301"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建筑起重机械安全监督管理规定》第三十条：违反本规定，使用单位有下列行为之一的，由县级以上地方人民政府建设主管部门责令限期改正，予以警告，并处以5000元以上3万元以下罚款：（一）未履行第十八条第（一）、（二）、（四）、（六）项安全职责的；（二）未指定专职设备管理人员进行现场监督检查的；（三）擅自在建筑起重机械上安装非原制造厂制造的标准节和附着装置的。</w:t>
            </w:r>
          </w:p>
        </w:tc>
        <w:tc>
          <w:tcPr>
            <w:tcW w:w="952" w:type="dxa"/>
            <w:tcBorders>
              <w:top w:val="nil"/>
              <w:left w:val="nil"/>
              <w:bottom w:val="single" w:color="000000" w:sz="8" w:space="0"/>
              <w:right w:val="single" w:color="000000" w:sz="12" w:space="0"/>
            </w:tcBorders>
            <w:shd w:val="clear" w:color="auto" w:fill="auto"/>
            <w:tcMar>
              <w:top w:w="15" w:type="dxa"/>
              <w:left w:w="15" w:type="dxa"/>
              <w:bottom w:w="15" w:type="dxa"/>
              <w:right w:w="15" w:type="dxa"/>
            </w:tcMar>
            <w:vAlign w:val="center"/>
          </w:tcPr>
          <w:p>
            <w:pPr>
              <w:widowControl/>
              <w:jc w:val="center"/>
              <w:rPr>
                <w:rFonts w:hint="eastAsia" w:asciiTheme="minorEastAsia" w:hAnsiTheme="minorEastAsia" w:eastAsiaTheme="minorEastAsia" w:cstheme="minorEastAsia"/>
                <w:kern w:val="0"/>
                <w:sz w:val="21"/>
                <w:szCs w:val="21"/>
              </w:rPr>
            </w:pPr>
          </w:p>
        </w:tc>
      </w:tr>
      <w:tr>
        <w:tblPrEx>
          <w:tblCellMar>
            <w:top w:w="0" w:type="dxa"/>
            <w:left w:w="0" w:type="dxa"/>
            <w:bottom w:w="0" w:type="dxa"/>
            <w:right w:w="0" w:type="dxa"/>
          </w:tblCellMar>
        </w:tblPrEx>
        <w:trPr>
          <w:trHeight w:val="567" w:hRule="atLeast"/>
          <w:jc w:val="center"/>
        </w:trPr>
        <w:tc>
          <w:tcPr>
            <w:tcW w:w="1168" w:type="dxa"/>
            <w:tcBorders>
              <w:top w:val="nil"/>
              <w:left w:val="single" w:color="000000" w:sz="12" w:space="0"/>
              <w:bottom w:val="single" w:color="000000" w:sz="8" w:space="0"/>
              <w:right w:val="single" w:color="000000" w:sz="8" w:space="0"/>
            </w:tcBorders>
            <w:shd w:val="clear" w:color="auto" w:fill="auto"/>
            <w:tcMar>
              <w:top w:w="15" w:type="dxa"/>
              <w:left w:w="15" w:type="dxa"/>
              <w:bottom w:w="15" w:type="dxa"/>
              <w:right w:w="15" w:type="dxa"/>
            </w:tcMar>
            <w:vAlign w:val="center"/>
          </w:tcPr>
          <w:p>
            <w:pPr>
              <w:numPr>
                <w:ilvl w:val="0"/>
                <w:numId w:val="1"/>
              </w:numPr>
              <w:ind w:left="0" w:leftChars="0" w:firstLine="0" w:firstLineChars="0"/>
              <w:jc w:val="center"/>
              <w:rPr>
                <w:rFonts w:hint="eastAsia" w:ascii="宋体" w:hAnsi="宋体" w:eastAsia="宋体" w:cs="宋体"/>
                <w:lang w:val="en-US" w:eastAsia="zh-CN"/>
              </w:rPr>
            </w:pPr>
          </w:p>
        </w:tc>
        <w:tc>
          <w:tcPr>
            <w:tcW w:w="2881" w:type="dxa"/>
            <w:gridSpan w:val="3"/>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未指定专职设备管理人员进行现场监督检查</w:t>
            </w:r>
          </w:p>
        </w:tc>
        <w:tc>
          <w:tcPr>
            <w:tcW w:w="1104" w:type="dxa"/>
            <w:gridSpan w:val="2"/>
            <w:tcBorders>
              <w:top w:val="nil"/>
              <w:left w:val="nil"/>
              <w:bottom w:val="single" w:color="000000" w:sz="8" w:space="0"/>
              <w:right w:val="single" w:color="auto" w:sz="8"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eastAsia="zh-CN"/>
              </w:rPr>
              <w:t>区住建局</w:t>
            </w:r>
          </w:p>
        </w:tc>
        <w:tc>
          <w:tcPr>
            <w:tcW w:w="200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有1台建筑起重机械未指定专职设备管理人员进行现场监督检查</w:t>
            </w:r>
          </w:p>
        </w:tc>
        <w:tc>
          <w:tcPr>
            <w:tcW w:w="6301"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建筑起重机械安全监督管理规定》第三十条：违反本规定，使用单位有下列行为之一的，由县级以上地方人民政府建设主管部门责令限期改正，予以警告，并处以5000元以上3万元以下罚款：（一）未履行第十八条第（一）、（二）、（四）、（六）项安全职责的；（二）未指定专职设备管理人员进行现场监督检查的；（三）擅自在建筑起重机械上安装非原制造厂制造的标准节和附着装置的。</w:t>
            </w:r>
          </w:p>
        </w:tc>
        <w:tc>
          <w:tcPr>
            <w:tcW w:w="952" w:type="dxa"/>
            <w:tcBorders>
              <w:top w:val="nil"/>
              <w:left w:val="nil"/>
              <w:bottom w:val="single" w:color="000000" w:sz="8" w:space="0"/>
              <w:right w:val="single" w:color="000000" w:sz="12" w:space="0"/>
            </w:tcBorders>
            <w:shd w:val="clear" w:color="auto" w:fill="auto"/>
            <w:tcMar>
              <w:top w:w="15" w:type="dxa"/>
              <w:left w:w="15" w:type="dxa"/>
              <w:bottom w:w="15" w:type="dxa"/>
              <w:right w:w="15" w:type="dxa"/>
            </w:tcMar>
            <w:vAlign w:val="center"/>
          </w:tcPr>
          <w:p>
            <w:pPr>
              <w:widowControl/>
              <w:jc w:val="center"/>
              <w:rPr>
                <w:rFonts w:hint="eastAsia" w:asciiTheme="minorEastAsia" w:hAnsiTheme="minorEastAsia" w:eastAsiaTheme="minorEastAsia" w:cstheme="minorEastAsia"/>
                <w:kern w:val="0"/>
                <w:sz w:val="21"/>
                <w:szCs w:val="21"/>
              </w:rPr>
            </w:pPr>
          </w:p>
        </w:tc>
      </w:tr>
      <w:tr>
        <w:tblPrEx>
          <w:tblCellMar>
            <w:top w:w="0" w:type="dxa"/>
            <w:left w:w="0" w:type="dxa"/>
            <w:bottom w:w="0" w:type="dxa"/>
            <w:right w:w="0" w:type="dxa"/>
          </w:tblCellMar>
        </w:tblPrEx>
        <w:trPr>
          <w:trHeight w:val="567" w:hRule="atLeast"/>
          <w:jc w:val="center"/>
        </w:trPr>
        <w:tc>
          <w:tcPr>
            <w:tcW w:w="1168" w:type="dxa"/>
            <w:tcBorders>
              <w:top w:val="nil"/>
              <w:left w:val="single" w:color="000000" w:sz="12" w:space="0"/>
              <w:bottom w:val="single" w:color="000000" w:sz="8" w:space="0"/>
              <w:right w:val="single" w:color="000000" w:sz="8" w:space="0"/>
            </w:tcBorders>
            <w:shd w:val="clear" w:color="auto" w:fill="auto"/>
            <w:tcMar>
              <w:top w:w="15" w:type="dxa"/>
              <w:left w:w="15" w:type="dxa"/>
              <w:bottom w:w="15" w:type="dxa"/>
              <w:right w:w="15" w:type="dxa"/>
            </w:tcMar>
            <w:vAlign w:val="center"/>
          </w:tcPr>
          <w:p>
            <w:pPr>
              <w:numPr>
                <w:ilvl w:val="0"/>
                <w:numId w:val="1"/>
              </w:numPr>
              <w:ind w:left="0" w:leftChars="0" w:firstLine="0" w:firstLineChars="0"/>
              <w:jc w:val="center"/>
              <w:rPr>
                <w:rFonts w:hint="eastAsia" w:ascii="宋体" w:hAnsi="宋体" w:eastAsia="宋体" w:cs="宋体"/>
                <w:lang w:val="en-US" w:eastAsia="zh-CN"/>
              </w:rPr>
            </w:pPr>
          </w:p>
        </w:tc>
        <w:tc>
          <w:tcPr>
            <w:tcW w:w="2881" w:type="dxa"/>
            <w:gridSpan w:val="3"/>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擅自在建筑起重机械上安装非原制造厂制造的标准节和附着装置</w:t>
            </w:r>
          </w:p>
        </w:tc>
        <w:tc>
          <w:tcPr>
            <w:tcW w:w="1104" w:type="dxa"/>
            <w:gridSpan w:val="2"/>
            <w:tcBorders>
              <w:top w:val="nil"/>
              <w:left w:val="nil"/>
              <w:bottom w:val="single" w:color="000000" w:sz="8" w:space="0"/>
              <w:right w:val="single" w:color="auto" w:sz="8"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eastAsia="zh-CN"/>
              </w:rPr>
              <w:t>区住建局</w:t>
            </w:r>
          </w:p>
        </w:tc>
        <w:tc>
          <w:tcPr>
            <w:tcW w:w="200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擅自在1台建筑起重机械上安装非原制造厂制造的标准节或附着装置的</w:t>
            </w:r>
          </w:p>
        </w:tc>
        <w:tc>
          <w:tcPr>
            <w:tcW w:w="6301"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建筑起重机械安全监督管理规定》第三十条：违反本规定，使用单位有下列行为之一的，由县级以上地方人民政府建设主管部门责令限期改正，予以警告，并处以5000元以上3万元以下罚款：（一）未履行第十八条第（一）、（二）、（四）、（六）项安全职责的；（二）未指定专职设备管理人员进行现场监督检查的；（三）擅自在建筑起重机械上安装非原制造厂制造的标准节和附着装置的。</w:t>
            </w:r>
          </w:p>
        </w:tc>
        <w:tc>
          <w:tcPr>
            <w:tcW w:w="952" w:type="dxa"/>
            <w:tcBorders>
              <w:top w:val="nil"/>
              <w:left w:val="nil"/>
              <w:bottom w:val="single" w:color="000000" w:sz="8" w:space="0"/>
              <w:right w:val="single" w:color="000000" w:sz="12" w:space="0"/>
            </w:tcBorders>
            <w:shd w:val="clear" w:color="auto" w:fill="auto"/>
            <w:tcMar>
              <w:top w:w="15" w:type="dxa"/>
              <w:left w:w="15" w:type="dxa"/>
              <w:bottom w:w="15" w:type="dxa"/>
              <w:right w:w="15" w:type="dxa"/>
            </w:tcMar>
            <w:vAlign w:val="center"/>
          </w:tcPr>
          <w:p>
            <w:pPr>
              <w:widowControl/>
              <w:jc w:val="center"/>
              <w:rPr>
                <w:rFonts w:hint="eastAsia" w:asciiTheme="minorEastAsia" w:hAnsiTheme="minorEastAsia" w:eastAsiaTheme="minorEastAsia" w:cstheme="minorEastAsia"/>
                <w:kern w:val="0"/>
                <w:sz w:val="21"/>
                <w:szCs w:val="21"/>
              </w:rPr>
            </w:pPr>
          </w:p>
        </w:tc>
      </w:tr>
      <w:tr>
        <w:tblPrEx>
          <w:tblCellMar>
            <w:top w:w="0" w:type="dxa"/>
            <w:left w:w="0" w:type="dxa"/>
            <w:bottom w:w="0" w:type="dxa"/>
            <w:right w:w="0" w:type="dxa"/>
          </w:tblCellMar>
        </w:tblPrEx>
        <w:trPr>
          <w:trHeight w:val="567" w:hRule="atLeast"/>
          <w:jc w:val="center"/>
        </w:trPr>
        <w:tc>
          <w:tcPr>
            <w:tcW w:w="1168" w:type="dxa"/>
            <w:tcBorders>
              <w:top w:val="nil"/>
              <w:left w:val="single" w:color="000000" w:sz="12" w:space="0"/>
              <w:bottom w:val="single" w:color="000000" w:sz="8" w:space="0"/>
              <w:right w:val="single" w:color="000000" w:sz="8" w:space="0"/>
            </w:tcBorders>
            <w:shd w:val="clear" w:color="auto" w:fill="auto"/>
            <w:tcMar>
              <w:top w:w="15" w:type="dxa"/>
              <w:left w:w="15" w:type="dxa"/>
              <w:bottom w:w="15" w:type="dxa"/>
              <w:right w:w="15" w:type="dxa"/>
            </w:tcMar>
            <w:vAlign w:val="center"/>
          </w:tcPr>
          <w:p>
            <w:pPr>
              <w:numPr>
                <w:ilvl w:val="0"/>
                <w:numId w:val="1"/>
              </w:numPr>
              <w:ind w:left="0" w:leftChars="0" w:firstLine="0" w:firstLineChars="0"/>
              <w:jc w:val="center"/>
              <w:rPr>
                <w:rFonts w:hint="eastAsia" w:ascii="宋体" w:hAnsi="宋体" w:eastAsia="宋体" w:cs="宋体"/>
                <w:lang w:val="en-US" w:eastAsia="zh-CN"/>
              </w:rPr>
            </w:pPr>
          </w:p>
        </w:tc>
        <w:tc>
          <w:tcPr>
            <w:tcW w:w="2881" w:type="dxa"/>
            <w:gridSpan w:val="3"/>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施工总承包单位未履行《建筑起重机械安全监督管理规定》第二十一条第（一）、（三）、（四）、（五）、（七）项安全职责</w:t>
            </w:r>
          </w:p>
        </w:tc>
        <w:tc>
          <w:tcPr>
            <w:tcW w:w="1104" w:type="dxa"/>
            <w:gridSpan w:val="2"/>
            <w:tcBorders>
              <w:top w:val="nil"/>
              <w:left w:val="nil"/>
              <w:bottom w:val="single" w:color="000000" w:sz="8" w:space="0"/>
              <w:right w:val="single" w:color="auto" w:sz="8"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eastAsia="zh-CN"/>
              </w:rPr>
              <w:t>区住建局</w:t>
            </w:r>
          </w:p>
        </w:tc>
        <w:tc>
          <w:tcPr>
            <w:tcW w:w="200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未提供1台拟安装设备位置的基础施工资料，未确保1台建筑起重机械进场安装、拆卸所需的施工条件</w:t>
            </w:r>
          </w:p>
        </w:tc>
        <w:tc>
          <w:tcPr>
            <w:tcW w:w="6301"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建筑起重机械安全监督管理规定》第三十一条：违反本规定，施工总承包单位未履行第二十一条第（一）、（三）、（四）、（五）、（七）项安全职责的，由县级以上地方人民政府建设主管部门责令限期改正，予以警告，并处以5000元以上3万元以下罚款。</w:t>
            </w:r>
          </w:p>
        </w:tc>
        <w:tc>
          <w:tcPr>
            <w:tcW w:w="952" w:type="dxa"/>
            <w:tcBorders>
              <w:top w:val="nil"/>
              <w:left w:val="nil"/>
              <w:bottom w:val="single" w:color="000000" w:sz="8" w:space="0"/>
              <w:right w:val="single" w:color="000000" w:sz="12" w:space="0"/>
            </w:tcBorders>
            <w:shd w:val="clear" w:color="auto" w:fill="auto"/>
            <w:tcMar>
              <w:top w:w="15" w:type="dxa"/>
              <w:left w:w="15" w:type="dxa"/>
              <w:bottom w:w="15" w:type="dxa"/>
              <w:right w:w="15" w:type="dxa"/>
            </w:tcMar>
            <w:vAlign w:val="center"/>
          </w:tcPr>
          <w:p>
            <w:pPr>
              <w:widowControl/>
              <w:jc w:val="center"/>
              <w:rPr>
                <w:rFonts w:hint="eastAsia" w:asciiTheme="minorEastAsia" w:hAnsiTheme="minorEastAsia" w:eastAsiaTheme="minorEastAsia" w:cstheme="minorEastAsia"/>
                <w:kern w:val="0"/>
                <w:sz w:val="21"/>
                <w:szCs w:val="21"/>
              </w:rPr>
            </w:pPr>
          </w:p>
        </w:tc>
      </w:tr>
      <w:tr>
        <w:tblPrEx>
          <w:tblCellMar>
            <w:top w:w="0" w:type="dxa"/>
            <w:left w:w="0" w:type="dxa"/>
            <w:bottom w:w="0" w:type="dxa"/>
            <w:right w:w="0" w:type="dxa"/>
          </w:tblCellMar>
        </w:tblPrEx>
        <w:trPr>
          <w:trHeight w:val="567" w:hRule="atLeast"/>
          <w:jc w:val="center"/>
        </w:trPr>
        <w:tc>
          <w:tcPr>
            <w:tcW w:w="1168" w:type="dxa"/>
            <w:tcBorders>
              <w:top w:val="nil"/>
              <w:left w:val="single" w:color="000000" w:sz="12" w:space="0"/>
              <w:bottom w:val="single" w:color="000000" w:sz="8" w:space="0"/>
              <w:right w:val="single" w:color="000000" w:sz="8" w:space="0"/>
            </w:tcBorders>
            <w:shd w:val="clear" w:color="auto" w:fill="auto"/>
            <w:tcMar>
              <w:top w:w="15" w:type="dxa"/>
              <w:left w:w="15" w:type="dxa"/>
              <w:bottom w:w="15" w:type="dxa"/>
              <w:right w:w="15" w:type="dxa"/>
            </w:tcMar>
            <w:vAlign w:val="center"/>
          </w:tcPr>
          <w:p>
            <w:pPr>
              <w:numPr>
                <w:ilvl w:val="0"/>
                <w:numId w:val="1"/>
              </w:numPr>
              <w:ind w:left="0" w:leftChars="0" w:firstLine="0" w:firstLineChars="0"/>
              <w:jc w:val="center"/>
              <w:rPr>
                <w:rFonts w:hint="eastAsia" w:ascii="宋体" w:hAnsi="宋体" w:eastAsia="宋体" w:cs="宋体"/>
                <w:lang w:val="en-US" w:eastAsia="zh-CN"/>
              </w:rPr>
            </w:pPr>
          </w:p>
        </w:tc>
        <w:tc>
          <w:tcPr>
            <w:tcW w:w="2881" w:type="dxa"/>
            <w:gridSpan w:val="3"/>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监理单位未履行《建筑起重机械安全监督管理规定》第二十二条第（一）、（二）、（四）、（五）项安全职责</w:t>
            </w:r>
          </w:p>
        </w:tc>
        <w:tc>
          <w:tcPr>
            <w:tcW w:w="1104" w:type="dxa"/>
            <w:gridSpan w:val="2"/>
            <w:tcBorders>
              <w:top w:val="nil"/>
              <w:left w:val="nil"/>
              <w:bottom w:val="single" w:color="000000" w:sz="8" w:space="0"/>
              <w:right w:val="single" w:color="auto" w:sz="8"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eastAsia="zh-CN"/>
              </w:rPr>
              <w:t>区住建局</w:t>
            </w:r>
          </w:p>
        </w:tc>
        <w:tc>
          <w:tcPr>
            <w:tcW w:w="200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监理单位未审核，但建筑起重机械特种设备制造许可证、产品合格证、制造监督检验证明、备案证明等文件符合要求的</w:t>
            </w:r>
          </w:p>
        </w:tc>
        <w:tc>
          <w:tcPr>
            <w:tcW w:w="6301"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建筑起重机械安全监督管理规定》第三十二条：违反本规定，监理单位未履行第二十二条第（一）、（二）、（四）、（五）项安全职责的，由县级以上地方人民政府建设主管部门责令限期改正，予以警告，并处以5000元以上3万元以下罚款。</w:t>
            </w:r>
          </w:p>
        </w:tc>
        <w:tc>
          <w:tcPr>
            <w:tcW w:w="952" w:type="dxa"/>
            <w:tcBorders>
              <w:top w:val="nil"/>
              <w:left w:val="nil"/>
              <w:bottom w:val="single" w:color="000000" w:sz="8" w:space="0"/>
              <w:right w:val="single" w:color="000000" w:sz="12" w:space="0"/>
            </w:tcBorders>
            <w:shd w:val="clear" w:color="auto" w:fill="auto"/>
            <w:tcMar>
              <w:top w:w="15" w:type="dxa"/>
              <w:left w:w="15" w:type="dxa"/>
              <w:bottom w:w="15" w:type="dxa"/>
              <w:right w:w="15" w:type="dxa"/>
            </w:tcMar>
            <w:vAlign w:val="center"/>
          </w:tcPr>
          <w:p>
            <w:pPr>
              <w:widowControl/>
              <w:jc w:val="center"/>
              <w:rPr>
                <w:rFonts w:hint="eastAsia" w:asciiTheme="minorEastAsia" w:hAnsiTheme="minorEastAsia" w:eastAsiaTheme="minorEastAsia" w:cstheme="minorEastAsia"/>
                <w:kern w:val="0"/>
                <w:sz w:val="21"/>
                <w:szCs w:val="21"/>
              </w:rPr>
            </w:pPr>
          </w:p>
        </w:tc>
      </w:tr>
      <w:tr>
        <w:tblPrEx>
          <w:tblCellMar>
            <w:top w:w="0" w:type="dxa"/>
            <w:left w:w="0" w:type="dxa"/>
            <w:bottom w:w="0" w:type="dxa"/>
            <w:right w:w="0" w:type="dxa"/>
          </w:tblCellMar>
        </w:tblPrEx>
        <w:trPr>
          <w:trHeight w:val="567" w:hRule="atLeast"/>
          <w:jc w:val="center"/>
        </w:trPr>
        <w:tc>
          <w:tcPr>
            <w:tcW w:w="1168" w:type="dxa"/>
            <w:tcBorders>
              <w:top w:val="nil"/>
              <w:left w:val="single" w:color="000000" w:sz="12" w:space="0"/>
              <w:bottom w:val="single" w:color="000000" w:sz="8" w:space="0"/>
              <w:right w:val="single" w:color="000000" w:sz="8" w:space="0"/>
            </w:tcBorders>
            <w:shd w:val="clear" w:color="auto" w:fill="auto"/>
            <w:tcMar>
              <w:top w:w="15" w:type="dxa"/>
              <w:left w:w="15" w:type="dxa"/>
              <w:bottom w:w="15" w:type="dxa"/>
              <w:right w:w="15" w:type="dxa"/>
            </w:tcMar>
            <w:vAlign w:val="center"/>
          </w:tcPr>
          <w:p>
            <w:pPr>
              <w:numPr>
                <w:ilvl w:val="0"/>
                <w:numId w:val="1"/>
              </w:numPr>
              <w:ind w:left="0" w:leftChars="0" w:firstLine="0" w:firstLineChars="0"/>
              <w:jc w:val="center"/>
              <w:rPr>
                <w:rFonts w:hint="eastAsia" w:ascii="宋体" w:hAnsi="宋体" w:eastAsia="宋体" w:cs="宋体"/>
                <w:lang w:val="en-US" w:eastAsia="zh-CN"/>
              </w:rPr>
            </w:pPr>
          </w:p>
        </w:tc>
        <w:tc>
          <w:tcPr>
            <w:tcW w:w="2881" w:type="dxa"/>
            <w:gridSpan w:val="3"/>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建设单位未按照规定协调组织制定防止多台塔式起重机相互碰撞的安全措施的</w:t>
            </w:r>
          </w:p>
        </w:tc>
        <w:tc>
          <w:tcPr>
            <w:tcW w:w="1104" w:type="dxa"/>
            <w:gridSpan w:val="2"/>
            <w:tcBorders>
              <w:top w:val="nil"/>
              <w:left w:val="nil"/>
              <w:bottom w:val="single" w:color="000000" w:sz="8" w:space="0"/>
              <w:right w:val="single" w:color="auto" w:sz="8"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eastAsia="zh-CN"/>
              </w:rPr>
              <w:t>区住建局</w:t>
            </w:r>
          </w:p>
        </w:tc>
        <w:tc>
          <w:tcPr>
            <w:tcW w:w="200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未按照规定协调组织制定防止2台塔式起重机相互碰撞的安全措施的</w:t>
            </w:r>
          </w:p>
        </w:tc>
        <w:tc>
          <w:tcPr>
            <w:tcW w:w="6301"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建筑起重机械安全监督管理规定》第三十三条：违反本规定，建设单位有下列行为之一的，由县级以上地方人民政府建设主管部门责令限期改正，予以警告，并处以5000元以上3万元以下罚款；逾期未改的，责令停止施工：（一）未按照规定协调组织制定防止多台塔式起重机相互碰撞的安全措施的；（二）接到监理单位报告后，未责令安装单位、使用单位立即停工整改的。</w:t>
            </w:r>
          </w:p>
        </w:tc>
        <w:tc>
          <w:tcPr>
            <w:tcW w:w="952" w:type="dxa"/>
            <w:tcBorders>
              <w:top w:val="nil"/>
              <w:left w:val="nil"/>
              <w:bottom w:val="single" w:color="000000" w:sz="8" w:space="0"/>
              <w:right w:val="single" w:color="000000" w:sz="12" w:space="0"/>
            </w:tcBorders>
            <w:shd w:val="clear" w:color="auto" w:fill="auto"/>
            <w:tcMar>
              <w:top w:w="15" w:type="dxa"/>
              <w:left w:w="15" w:type="dxa"/>
              <w:bottom w:w="15" w:type="dxa"/>
              <w:right w:w="15" w:type="dxa"/>
            </w:tcMar>
            <w:vAlign w:val="center"/>
          </w:tcPr>
          <w:p>
            <w:pPr>
              <w:widowControl/>
              <w:jc w:val="center"/>
              <w:rPr>
                <w:rFonts w:hint="eastAsia" w:asciiTheme="minorEastAsia" w:hAnsiTheme="minorEastAsia" w:eastAsiaTheme="minorEastAsia" w:cstheme="minorEastAsia"/>
                <w:kern w:val="0"/>
                <w:sz w:val="21"/>
                <w:szCs w:val="21"/>
              </w:rPr>
            </w:pPr>
          </w:p>
        </w:tc>
      </w:tr>
      <w:tr>
        <w:tblPrEx>
          <w:tblCellMar>
            <w:top w:w="0" w:type="dxa"/>
            <w:left w:w="0" w:type="dxa"/>
            <w:bottom w:w="0" w:type="dxa"/>
            <w:right w:w="0" w:type="dxa"/>
          </w:tblCellMar>
        </w:tblPrEx>
        <w:trPr>
          <w:trHeight w:val="567" w:hRule="atLeast"/>
          <w:jc w:val="center"/>
        </w:trPr>
        <w:tc>
          <w:tcPr>
            <w:tcW w:w="1168" w:type="dxa"/>
            <w:tcBorders>
              <w:top w:val="nil"/>
              <w:left w:val="single" w:color="000000" w:sz="12" w:space="0"/>
              <w:bottom w:val="single" w:color="000000" w:sz="8" w:space="0"/>
              <w:right w:val="single" w:color="000000" w:sz="8" w:space="0"/>
            </w:tcBorders>
            <w:shd w:val="clear" w:color="auto" w:fill="auto"/>
            <w:tcMar>
              <w:top w:w="15" w:type="dxa"/>
              <w:left w:w="15" w:type="dxa"/>
              <w:bottom w:w="15" w:type="dxa"/>
              <w:right w:w="15" w:type="dxa"/>
            </w:tcMar>
            <w:vAlign w:val="center"/>
          </w:tcPr>
          <w:p>
            <w:pPr>
              <w:numPr>
                <w:ilvl w:val="0"/>
                <w:numId w:val="1"/>
              </w:numPr>
              <w:ind w:left="0" w:leftChars="0" w:firstLine="0" w:firstLineChars="0"/>
              <w:jc w:val="center"/>
              <w:rPr>
                <w:rFonts w:hint="eastAsia" w:ascii="宋体" w:hAnsi="宋体" w:eastAsia="宋体" w:cs="宋体"/>
                <w:lang w:val="en-US" w:eastAsia="zh-CN"/>
              </w:rPr>
            </w:pPr>
          </w:p>
        </w:tc>
        <w:tc>
          <w:tcPr>
            <w:tcW w:w="2881" w:type="dxa"/>
            <w:gridSpan w:val="3"/>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建设单位接到监理单位报告后，未责令安装单位、使用单位立即停工整改</w:t>
            </w:r>
          </w:p>
        </w:tc>
        <w:tc>
          <w:tcPr>
            <w:tcW w:w="1104" w:type="dxa"/>
            <w:gridSpan w:val="2"/>
            <w:tcBorders>
              <w:top w:val="nil"/>
              <w:left w:val="nil"/>
              <w:bottom w:val="single" w:color="000000" w:sz="8" w:space="0"/>
              <w:right w:val="single" w:color="auto" w:sz="8"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eastAsia="zh-CN"/>
              </w:rPr>
              <w:t>区住建局</w:t>
            </w:r>
          </w:p>
        </w:tc>
        <w:tc>
          <w:tcPr>
            <w:tcW w:w="200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未造成危害后果或造成轻微危害后果的</w:t>
            </w:r>
          </w:p>
        </w:tc>
        <w:tc>
          <w:tcPr>
            <w:tcW w:w="6301"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建筑起重机械安全监督管理规定》第三十三条：违反本规定，建设单位有下列行为之一的，由县级以上地方人民政府建设主管部门责令限期改正，予以警告，并处以5000元以上3万元以下罚款；逾期未改的，责令停止施工：（一）未按照规定协调组织制定防止多台塔式起重机相互碰撞的安全措施的；（二）接到监理单位报告后，未责令安装单位、使用单位立即停工整改的。</w:t>
            </w:r>
          </w:p>
        </w:tc>
        <w:tc>
          <w:tcPr>
            <w:tcW w:w="952" w:type="dxa"/>
            <w:tcBorders>
              <w:top w:val="nil"/>
              <w:left w:val="nil"/>
              <w:bottom w:val="single" w:color="000000" w:sz="8" w:space="0"/>
              <w:right w:val="single" w:color="000000" w:sz="12" w:space="0"/>
            </w:tcBorders>
            <w:shd w:val="clear" w:color="auto" w:fill="auto"/>
            <w:tcMar>
              <w:top w:w="15" w:type="dxa"/>
              <w:left w:w="15" w:type="dxa"/>
              <w:bottom w:w="15" w:type="dxa"/>
              <w:right w:w="15" w:type="dxa"/>
            </w:tcMar>
            <w:vAlign w:val="center"/>
          </w:tcPr>
          <w:p>
            <w:pPr>
              <w:widowControl/>
              <w:jc w:val="center"/>
              <w:rPr>
                <w:rFonts w:hint="eastAsia" w:asciiTheme="minorEastAsia" w:hAnsiTheme="minorEastAsia" w:eastAsiaTheme="minorEastAsia" w:cstheme="minorEastAsia"/>
                <w:kern w:val="0"/>
                <w:sz w:val="21"/>
                <w:szCs w:val="21"/>
              </w:rPr>
            </w:pPr>
          </w:p>
        </w:tc>
      </w:tr>
      <w:tr>
        <w:tblPrEx>
          <w:tblCellMar>
            <w:top w:w="0" w:type="dxa"/>
            <w:left w:w="0" w:type="dxa"/>
            <w:bottom w:w="0" w:type="dxa"/>
            <w:right w:w="0" w:type="dxa"/>
          </w:tblCellMar>
        </w:tblPrEx>
        <w:trPr>
          <w:trHeight w:val="567" w:hRule="atLeast"/>
          <w:jc w:val="center"/>
        </w:trPr>
        <w:tc>
          <w:tcPr>
            <w:tcW w:w="1168" w:type="dxa"/>
            <w:tcBorders>
              <w:top w:val="nil"/>
              <w:left w:val="single" w:color="000000" w:sz="12" w:space="0"/>
              <w:bottom w:val="single" w:color="000000" w:sz="8" w:space="0"/>
              <w:right w:val="single" w:color="000000" w:sz="8" w:space="0"/>
            </w:tcBorders>
            <w:shd w:val="clear" w:color="auto" w:fill="auto"/>
            <w:tcMar>
              <w:top w:w="15" w:type="dxa"/>
              <w:left w:w="15" w:type="dxa"/>
              <w:bottom w:w="15" w:type="dxa"/>
              <w:right w:w="15" w:type="dxa"/>
            </w:tcMar>
            <w:vAlign w:val="center"/>
          </w:tcPr>
          <w:p>
            <w:pPr>
              <w:numPr>
                <w:ilvl w:val="0"/>
                <w:numId w:val="1"/>
              </w:numPr>
              <w:ind w:left="0" w:leftChars="0" w:firstLine="0" w:firstLineChars="0"/>
              <w:jc w:val="center"/>
              <w:rPr>
                <w:rFonts w:hint="eastAsia" w:ascii="宋体" w:hAnsi="宋体" w:eastAsia="宋体" w:cs="宋体"/>
                <w:lang w:val="en-US" w:eastAsia="zh-CN"/>
              </w:rPr>
            </w:pPr>
          </w:p>
        </w:tc>
        <w:tc>
          <w:tcPr>
            <w:tcW w:w="2881" w:type="dxa"/>
            <w:gridSpan w:val="3"/>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未按照本规定提供工程周边环境等资料</w:t>
            </w:r>
          </w:p>
        </w:tc>
        <w:tc>
          <w:tcPr>
            <w:tcW w:w="1104" w:type="dxa"/>
            <w:gridSpan w:val="2"/>
            <w:tcBorders>
              <w:top w:val="nil"/>
              <w:left w:val="nil"/>
              <w:bottom w:val="single" w:color="000000" w:sz="8" w:space="0"/>
              <w:right w:val="single" w:color="auto" w:sz="8"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eastAsia="zh-CN"/>
              </w:rPr>
              <w:t>区住建局</w:t>
            </w:r>
          </w:p>
        </w:tc>
        <w:tc>
          <w:tcPr>
            <w:tcW w:w="200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未造成危害后果或造成轻微危害后果的</w:t>
            </w:r>
          </w:p>
        </w:tc>
        <w:tc>
          <w:tcPr>
            <w:tcW w:w="6301"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危险性较大的分部分项工程安全管理规定》第二十九条：建设单位有下列行为之一的，责令限期改正，并处1万元以上3万元以下的罚款；对直接负责的主管人员和其他直接责任人员处1000元以上5000元以下的罚款：（一）未按照本规定提供工程周边环境等资料的；</w:t>
            </w:r>
          </w:p>
        </w:tc>
        <w:tc>
          <w:tcPr>
            <w:tcW w:w="952" w:type="dxa"/>
            <w:tcBorders>
              <w:top w:val="nil"/>
              <w:left w:val="nil"/>
              <w:bottom w:val="single" w:color="000000" w:sz="8" w:space="0"/>
              <w:right w:val="single" w:color="000000" w:sz="12" w:space="0"/>
            </w:tcBorders>
            <w:shd w:val="clear" w:color="auto" w:fill="auto"/>
            <w:tcMar>
              <w:top w:w="15" w:type="dxa"/>
              <w:left w:w="15" w:type="dxa"/>
              <w:bottom w:w="15" w:type="dxa"/>
              <w:right w:w="15" w:type="dxa"/>
            </w:tcMar>
            <w:vAlign w:val="center"/>
          </w:tcPr>
          <w:p>
            <w:pPr>
              <w:widowControl/>
              <w:jc w:val="center"/>
              <w:rPr>
                <w:rFonts w:hint="eastAsia" w:asciiTheme="minorEastAsia" w:hAnsiTheme="minorEastAsia" w:eastAsiaTheme="minorEastAsia" w:cstheme="minorEastAsia"/>
                <w:kern w:val="0"/>
                <w:sz w:val="21"/>
                <w:szCs w:val="21"/>
              </w:rPr>
            </w:pPr>
          </w:p>
        </w:tc>
      </w:tr>
      <w:tr>
        <w:tblPrEx>
          <w:tblCellMar>
            <w:top w:w="0" w:type="dxa"/>
            <w:left w:w="0" w:type="dxa"/>
            <w:bottom w:w="0" w:type="dxa"/>
            <w:right w:w="0" w:type="dxa"/>
          </w:tblCellMar>
        </w:tblPrEx>
        <w:trPr>
          <w:trHeight w:val="567" w:hRule="atLeast"/>
          <w:jc w:val="center"/>
        </w:trPr>
        <w:tc>
          <w:tcPr>
            <w:tcW w:w="1168" w:type="dxa"/>
            <w:tcBorders>
              <w:top w:val="nil"/>
              <w:left w:val="single" w:color="000000" w:sz="12" w:space="0"/>
              <w:bottom w:val="single" w:color="000000" w:sz="8" w:space="0"/>
              <w:right w:val="single" w:color="000000" w:sz="8" w:space="0"/>
            </w:tcBorders>
            <w:shd w:val="clear" w:color="auto" w:fill="auto"/>
            <w:tcMar>
              <w:top w:w="15" w:type="dxa"/>
              <w:left w:w="15" w:type="dxa"/>
              <w:bottom w:w="15" w:type="dxa"/>
              <w:right w:w="15" w:type="dxa"/>
            </w:tcMar>
            <w:vAlign w:val="center"/>
          </w:tcPr>
          <w:p>
            <w:pPr>
              <w:numPr>
                <w:ilvl w:val="0"/>
                <w:numId w:val="1"/>
              </w:numPr>
              <w:ind w:left="0" w:leftChars="0" w:firstLine="0" w:firstLineChars="0"/>
              <w:jc w:val="center"/>
              <w:rPr>
                <w:rFonts w:hint="eastAsia" w:ascii="宋体" w:hAnsi="宋体" w:eastAsia="宋体" w:cs="宋体"/>
                <w:lang w:val="en-US" w:eastAsia="zh-CN"/>
              </w:rPr>
            </w:pPr>
          </w:p>
        </w:tc>
        <w:tc>
          <w:tcPr>
            <w:tcW w:w="2881" w:type="dxa"/>
            <w:gridSpan w:val="3"/>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未按照本规定在招标文件中列出危大工程清单</w:t>
            </w:r>
          </w:p>
        </w:tc>
        <w:tc>
          <w:tcPr>
            <w:tcW w:w="1104" w:type="dxa"/>
            <w:gridSpan w:val="2"/>
            <w:tcBorders>
              <w:top w:val="nil"/>
              <w:left w:val="nil"/>
              <w:bottom w:val="single" w:color="000000" w:sz="8" w:space="0"/>
              <w:right w:val="single" w:color="auto" w:sz="8"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eastAsia="zh-CN"/>
              </w:rPr>
              <w:t>区住建局</w:t>
            </w:r>
          </w:p>
        </w:tc>
        <w:tc>
          <w:tcPr>
            <w:tcW w:w="200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未造成危害后果或造成轻微危害后果的</w:t>
            </w:r>
          </w:p>
        </w:tc>
        <w:tc>
          <w:tcPr>
            <w:tcW w:w="6301"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危险性较大的分部分项工程安全管理规定》第二十九条：建设单位有下列行为之一的，责令限期改正，并处1万元以上3万元以下的罚款；对直接负责的主管人员和其他直接责任人员处1000元以上5000元以下的罚款：（二）未按照本规定在招标文件中列出危大工程清单的；</w:t>
            </w:r>
          </w:p>
        </w:tc>
        <w:tc>
          <w:tcPr>
            <w:tcW w:w="952" w:type="dxa"/>
            <w:tcBorders>
              <w:top w:val="nil"/>
              <w:left w:val="nil"/>
              <w:bottom w:val="single" w:color="000000" w:sz="8" w:space="0"/>
              <w:right w:val="single" w:color="000000" w:sz="12" w:space="0"/>
            </w:tcBorders>
            <w:shd w:val="clear" w:color="auto" w:fill="auto"/>
            <w:tcMar>
              <w:top w:w="15" w:type="dxa"/>
              <w:left w:w="15" w:type="dxa"/>
              <w:bottom w:w="15" w:type="dxa"/>
              <w:right w:w="15" w:type="dxa"/>
            </w:tcMar>
            <w:vAlign w:val="center"/>
          </w:tcPr>
          <w:p>
            <w:pPr>
              <w:widowControl/>
              <w:jc w:val="center"/>
              <w:rPr>
                <w:rFonts w:hint="eastAsia" w:asciiTheme="minorEastAsia" w:hAnsiTheme="minorEastAsia" w:eastAsiaTheme="minorEastAsia" w:cstheme="minorEastAsia"/>
                <w:kern w:val="0"/>
                <w:sz w:val="21"/>
                <w:szCs w:val="21"/>
              </w:rPr>
            </w:pPr>
          </w:p>
        </w:tc>
      </w:tr>
      <w:tr>
        <w:tblPrEx>
          <w:tblCellMar>
            <w:top w:w="0" w:type="dxa"/>
            <w:left w:w="0" w:type="dxa"/>
            <w:bottom w:w="0" w:type="dxa"/>
            <w:right w:w="0" w:type="dxa"/>
          </w:tblCellMar>
        </w:tblPrEx>
        <w:trPr>
          <w:trHeight w:val="567" w:hRule="atLeast"/>
          <w:jc w:val="center"/>
        </w:trPr>
        <w:tc>
          <w:tcPr>
            <w:tcW w:w="1168" w:type="dxa"/>
            <w:tcBorders>
              <w:top w:val="nil"/>
              <w:left w:val="single" w:color="000000" w:sz="12" w:space="0"/>
              <w:bottom w:val="single" w:color="000000" w:sz="8" w:space="0"/>
              <w:right w:val="single" w:color="000000" w:sz="8" w:space="0"/>
            </w:tcBorders>
            <w:shd w:val="clear" w:color="auto" w:fill="auto"/>
            <w:tcMar>
              <w:top w:w="15" w:type="dxa"/>
              <w:left w:w="15" w:type="dxa"/>
              <w:bottom w:w="15" w:type="dxa"/>
              <w:right w:w="15" w:type="dxa"/>
            </w:tcMar>
            <w:vAlign w:val="center"/>
          </w:tcPr>
          <w:p>
            <w:pPr>
              <w:numPr>
                <w:ilvl w:val="0"/>
                <w:numId w:val="1"/>
              </w:numPr>
              <w:ind w:left="0" w:leftChars="0" w:firstLine="0" w:firstLineChars="0"/>
              <w:jc w:val="center"/>
              <w:rPr>
                <w:rFonts w:hint="eastAsia" w:ascii="宋体" w:hAnsi="宋体" w:eastAsia="宋体" w:cs="宋体"/>
                <w:lang w:val="en-US" w:eastAsia="zh-CN"/>
              </w:rPr>
            </w:pPr>
          </w:p>
        </w:tc>
        <w:tc>
          <w:tcPr>
            <w:tcW w:w="2881" w:type="dxa"/>
            <w:gridSpan w:val="3"/>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未按照施工合同约定及时支付危大工程施工技术措施费或者相应的安全防护文明施工措施费</w:t>
            </w:r>
          </w:p>
        </w:tc>
        <w:tc>
          <w:tcPr>
            <w:tcW w:w="1104" w:type="dxa"/>
            <w:gridSpan w:val="2"/>
            <w:tcBorders>
              <w:top w:val="nil"/>
              <w:left w:val="nil"/>
              <w:bottom w:val="single" w:color="000000" w:sz="8" w:space="0"/>
              <w:right w:val="single" w:color="auto" w:sz="8"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eastAsia="zh-CN"/>
              </w:rPr>
              <w:t>区住建局</w:t>
            </w:r>
          </w:p>
        </w:tc>
        <w:tc>
          <w:tcPr>
            <w:tcW w:w="200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未造成危害后果或造成轻微危害后果的</w:t>
            </w:r>
          </w:p>
        </w:tc>
        <w:tc>
          <w:tcPr>
            <w:tcW w:w="6301"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危险性较大的分部分项工程安全管理规定》第二十九条：建设单位有下列行为之一的，责令限期改正，并处1万元以上3万元以下的罚款；对直接负责的主管人员和其他直接责任人员处1000元以上5000元以下的罚款：（三）未按照施工合同约定及时支付危大工程施工技术措施费或者相应的安全防护文明施工措施费的；</w:t>
            </w:r>
          </w:p>
        </w:tc>
        <w:tc>
          <w:tcPr>
            <w:tcW w:w="952" w:type="dxa"/>
            <w:tcBorders>
              <w:top w:val="nil"/>
              <w:left w:val="nil"/>
              <w:bottom w:val="single" w:color="000000" w:sz="8" w:space="0"/>
              <w:right w:val="single" w:color="000000" w:sz="12" w:space="0"/>
            </w:tcBorders>
            <w:shd w:val="clear" w:color="auto" w:fill="auto"/>
            <w:tcMar>
              <w:top w:w="15" w:type="dxa"/>
              <w:left w:w="15" w:type="dxa"/>
              <w:bottom w:w="15" w:type="dxa"/>
              <w:right w:w="15" w:type="dxa"/>
            </w:tcMar>
            <w:vAlign w:val="center"/>
          </w:tcPr>
          <w:p>
            <w:pPr>
              <w:widowControl/>
              <w:jc w:val="center"/>
              <w:rPr>
                <w:rFonts w:hint="eastAsia" w:asciiTheme="minorEastAsia" w:hAnsiTheme="minorEastAsia" w:eastAsiaTheme="minorEastAsia" w:cstheme="minorEastAsia"/>
                <w:kern w:val="0"/>
                <w:sz w:val="21"/>
                <w:szCs w:val="21"/>
              </w:rPr>
            </w:pPr>
          </w:p>
        </w:tc>
      </w:tr>
      <w:tr>
        <w:tblPrEx>
          <w:tblCellMar>
            <w:top w:w="0" w:type="dxa"/>
            <w:left w:w="0" w:type="dxa"/>
            <w:bottom w:w="0" w:type="dxa"/>
            <w:right w:w="0" w:type="dxa"/>
          </w:tblCellMar>
        </w:tblPrEx>
        <w:trPr>
          <w:trHeight w:val="567" w:hRule="atLeast"/>
          <w:jc w:val="center"/>
        </w:trPr>
        <w:tc>
          <w:tcPr>
            <w:tcW w:w="1168" w:type="dxa"/>
            <w:tcBorders>
              <w:top w:val="nil"/>
              <w:left w:val="single" w:color="000000" w:sz="12" w:space="0"/>
              <w:bottom w:val="single" w:color="000000" w:sz="8" w:space="0"/>
              <w:right w:val="single" w:color="000000" w:sz="8" w:space="0"/>
            </w:tcBorders>
            <w:shd w:val="clear" w:color="auto" w:fill="auto"/>
            <w:tcMar>
              <w:top w:w="15" w:type="dxa"/>
              <w:left w:w="15" w:type="dxa"/>
              <w:bottom w:w="15" w:type="dxa"/>
              <w:right w:w="15" w:type="dxa"/>
            </w:tcMar>
            <w:vAlign w:val="center"/>
          </w:tcPr>
          <w:p>
            <w:pPr>
              <w:numPr>
                <w:ilvl w:val="0"/>
                <w:numId w:val="1"/>
              </w:numPr>
              <w:ind w:left="0" w:leftChars="0" w:firstLine="0" w:firstLineChars="0"/>
              <w:jc w:val="center"/>
              <w:rPr>
                <w:rFonts w:hint="eastAsia" w:ascii="宋体" w:hAnsi="宋体" w:eastAsia="宋体" w:cs="宋体"/>
                <w:lang w:val="en-US" w:eastAsia="zh-CN"/>
              </w:rPr>
            </w:pPr>
          </w:p>
        </w:tc>
        <w:tc>
          <w:tcPr>
            <w:tcW w:w="2881" w:type="dxa"/>
            <w:gridSpan w:val="3"/>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未按照本规定委托具有相应勘察资质的单位进行第三方监测</w:t>
            </w:r>
          </w:p>
        </w:tc>
        <w:tc>
          <w:tcPr>
            <w:tcW w:w="1104" w:type="dxa"/>
            <w:gridSpan w:val="2"/>
            <w:tcBorders>
              <w:top w:val="nil"/>
              <w:left w:val="nil"/>
              <w:bottom w:val="single" w:color="000000" w:sz="8" w:space="0"/>
              <w:right w:val="single" w:color="auto" w:sz="8"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eastAsia="zh-CN"/>
              </w:rPr>
              <w:t>区住建局</w:t>
            </w:r>
          </w:p>
        </w:tc>
        <w:tc>
          <w:tcPr>
            <w:tcW w:w="200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及时纠正，未造成严重后果</w:t>
            </w:r>
          </w:p>
        </w:tc>
        <w:tc>
          <w:tcPr>
            <w:tcW w:w="6301"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危险性较大的分部分项工程安全管理规定》第二十九条：建设单位有下列行为之一的，责令限期改正，并处1万元以上3万元以下的罚款；对直接负责的主管人员和其他直接责任人员处1000元以上5000元以下的罚款：（四）未按照本规定委托具有相应勘察资质的单位进行第三方监测的</w:t>
            </w:r>
          </w:p>
        </w:tc>
        <w:tc>
          <w:tcPr>
            <w:tcW w:w="952" w:type="dxa"/>
            <w:tcBorders>
              <w:top w:val="nil"/>
              <w:left w:val="nil"/>
              <w:bottom w:val="single" w:color="000000" w:sz="8" w:space="0"/>
              <w:right w:val="single" w:color="000000" w:sz="12" w:space="0"/>
            </w:tcBorders>
            <w:shd w:val="clear" w:color="auto" w:fill="auto"/>
            <w:tcMar>
              <w:top w:w="15" w:type="dxa"/>
              <w:left w:w="15" w:type="dxa"/>
              <w:bottom w:w="15" w:type="dxa"/>
              <w:right w:w="15" w:type="dxa"/>
            </w:tcMar>
            <w:vAlign w:val="center"/>
          </w:tcPr>
          <w:p>
            <w:pPr>
              <w:widowControl/>
              <w:jc w:val="center"/>
              <w:rPr>
                <w:rFonts w:hint="eastAsia" w:asciiTheme="minorEastAsia" w:hAnsiTheme="minorEastAsia" w:eastAsiaTheme="minorEastAsia" w:cstheme="minorEastAsia"/>
                <w:kern w:val="0"/>
                <w:sz w:val="21"/>
                <w:szCs w:val="21"/>
              </w:rPr>
            </w:pPr>
          </w:p>
        </w:tc>
      </w:tr>
      <w:tr>
        <w:tblPrEx>
          <w:tblCellMar>
            <w:top w:w="0" w:type="dxa"/>
            <w:left w:w="0" w:type="dxa"/>
            <w:bottom w:w="0" w:type="dxa"/>
            <w:right w:w="0" w:type="dxa"/>
          </w:tblCellMar>
        </w:tblPrEx>
        <w:trPr>
          <w:trHeight w:val="567" w:hRule="atLeast"/>
          <w:jc w:val="center"/>
        </w:trPr>
        <w:tc>
          <w:tcPr>
            <w:tcW w:w="1168" w:type="dxa"/>
            <w:tcBorders>
              <w:top w:val="nil"/>
              <w:left w:val="single" w:color="000000" w:sz="12" w:space="0"/>
              <w:bottom w:val="single" w:color="000000" w:sz="8" w:space="0"/>
              <w:right w:val="single" w:color="000000" w:sz="8" w:space="0"/>
            </w:tcBorders>
            <w:shd w:val="clear" w:color="auto" w:fill="auto"/>
            <w:tcMar>
              <w:top w:w="15" w:type="dxa"/>
              <w:left w:w="15" w:type="dxa"/>
              <w:bottom w:w="15" w:type="dxa"/>
              <w:right w:w="15" w:type="dxa"/>
            </w:tcMar>
            <w:vAlign w:val="center"/>
          </w:tcPr>
          <w:p>
            <w:pPr>
              <w:numPr>
                <w:ilvl w:val="0"/>
                <w:numId w:val="1"/>
              </w:numPr>
              <w:ind w:left="0" w:leftChars="0" w:firstLine="0" w:firstLineChars="0"/>
              <w:jc w:val="center"/>
              <w:rPr>
                <w:rFonts w:hint="eastAsia" w:ascii="宋体" w:hAnsi="宋体" w:eastAsia="宋体" w:cs="宋体"/>
                <w:lang w:val="en-US" w:eastAsia="zh-CN"/>
              </w:rPr>
            </w:pPr>
          </w:p>
        </w:tc>
        <w:tc>
          <w:tcPr>
            <w:tcW w:w="2881" w:type="dxa"/>
            <w:gridSpan w:val="3"/>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未对第三方监测单位报告的异常情况组织采取处置措施</w:t>
            </w:r>
          </w:p>
        </w:tc>
        <w:tc>
          <w:tcPr>
            <w:tcW w:w="1104" w:type="dxa"/>
            <w:gridSpan w:val="2"/>
            <w:tcBorders>
              <w:top w:val="nil"/>
              <w:left w:val="nil"/>
              <w:bottom w:val="single" w:color="000000" w:sz="8" w:space="0"/>
              <w:right w:val="single" w:color="auto" w:sz="8"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eastAsia="zh-CN"/>
              </w:rPr>
              <w:t>区住建局</w:t>
            </w:r>
          </w:p>
        </w:tc>
        <w:tc>
          <w:tcPr>
            <w:tcW w:w="200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未造成危害后果或造成轻微危害后果的</w:t>
            </w:r>
          </w:p>
        </w:tc>
        <w:tc>
          <w:tcPr>
            <w:tcW w:w="6301"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危险性较大的分部分项工程安全管理规定》第二十九条：建设单位有下列行为之一的，责令限期改正，并处1万元以上3万元以下的罚款；对直接负责的主管人员和其他直接责任人员处1000元以上5000元以下的罚款：（五）未对第三方监测单位报告的异常情况组织采取处置措施的。</w:t>
            </w:r>
          </w:p>
        </w:tc>
        <w:tc>
          <w:tcPr>
            <w:tcW w:w="952" w:type="dxa"/>
            <w:tcBorders>
              <w:top w:val="nil"/>
              <w:left w:val="nil"/>
              <w:bottom w:val="single" w:color="000000" w:sz="8" w:space="0"/>
              <w:right w:val="single" w:color="000000" w:sz="12" w:space="0"/>
            </w:tcBorders>
            <w:shd w:val="clear" w:color="auto" w:fill="auto"/>
            <w:tcMar>
              <w:top w:w="15" w:type="dxa"/>
              <w:left w:w="15" w:type="dxa"/>
              <w:bottom w:w="15" w:type="dxa"/>
              <w:right w:w="15" w:type="dxa"/>
            </w:tcMar>
            <w:vAlign w:val="center"/>
          </w:tcPr>
          <w:p>
            <w:pPr>
              <w:widowControl/>
              <w:jc w:val="center"/>
              <w:rPr>
                <w:rFonts w:hint="eastAsia" w:asciiTheme="minorEastAsia" w:hAnsiTheme="minorEastAsia" w:eastAsiaTheme="minorEastAsia" w:cstheme="minorEastAsia"/>
                <w:kern w:val="0"/>
                <w:sz w:val="21"/>
                <w:szCs w:val="21"/>
              </w:rPr>
            </w:pPr>
          </w:p>
        </w:tc>
      </w:tr>
      <w:tr>
        <w:tblPrEx>
          <w:tblCellMar>
            <w:top w:w="0" w:type="dxa"/>
            <w:left w:w="0" w:type="dxa"/>
            <w:bottom w:w="0" w:type="dxa"/>
            <w:right w:w="0" w:type="dxa"/>
          </w:tblCellMar>
        </w:tblPrEx>
        <w:trPr>
          <w:trHeight w:val="567" w:hRule="atLeast"/>
          <w:jc w:val="center"/>
        </w:trPr>
        <w:tc>
          <w:tcPr>
            <w:tcW w:w="1168" w:type="dxa"/>
            <w:tcBorders>
              <w:top w:val="nil"/>
              <w:left w:val="single" w:color="000000" w:sz="12" w:space="0"/>
              <w:bottom w:val="single" w:color="000000" w:sz="8" w:space="0"/>
              <w:right w:val="single" w:color="000000" w:sz="8" w:space="0"/>
            </w:tcBorders>
            <w:shd w:val="clear" w:color="auto" w:fill="auto"/>
            <w:tcMar>
              <w:top w:w="15" w:type="dxa"/>
              <w:left w:w="15" w:type="dxa"/>
              <w:bottom w:w="15" w:type="dxa"/>
              <w:right w:w="15" w:type="dxa"/>
            </w:tcMar>
            <w:vAlign w:val="center"/>
          </w:tcPr>
          <w:p>
            <w:pPr>
              <w:numPr>
                <w:ilvl w:val="0"/>
                <w:numId w:val="1"/>
              </w:numPr>
              <w:ind w:left="0" w:leftChars="0" w:firstLine="0" w:firstLineChars="0"/>
              <w:jc w:val="center"/>
              <w:rPr>
                <w:rFonts w:hint="eastAsia" w:ascii="宋体" w:hAnsi="宋体" w:eastAsia="宋体" w:cs="宋体"/>
                <w:lang w:val="en-US" w:eastAsia="zh-CN"/>
              </w:rPr>
            </w:pPr>
          </w:p>
        </w:tc>
        <w:tc>
          <w:tcPr>
            <w:tcW w:w="2881" w:type="dxa"/>
            <w:gridSpan w:val="3"/>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勘察单位未在勘察文件中说明地质条件可能造成的工程风险</w:t>
            </w:r>
          </w:p>
        </w:tc>
        <w:tc>
          <w:tcPr>
            <w:tcW w:w="1104" w:type="dxa"/>
            <w:gridSpan w:val="2"/>
            <w:tcBorders>
              <w:top w:val="nil"/>
              <w:left w:val="nil"/>
              <w:bottom w:val="single" w:color="000000" w:sz="8" w:space="0"/>
              <w:right w:val="single" w:color="auto" w:sz="8"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eastAsia="zh-CN"/>
              </w:rPr>
              <w:t>区住建局</w:t>
            </w:r>
          </w:p>
        </w:tc>
        <w:tc>
          <w:tcPr>
            <w:tcW w:w="200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未造成危害后果或造成轻微危害后果的</w:t>
            </w:r>
          </w:p>
        </w:tc>
        <w:tc>
          <w:tcPr>
            <w:tcW w:w="6301"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危险性较大的分部分项工程安全管理规定》第三十条：勘察单位未在勘察文件中说明地质条件可能造成的工程风险的，责令限期改正，依照《建设工程安全生产管理条例》对单位进行处罚；对直接负责的主管人员和其他直接责任人员处1000元以上5000元以下的罚款。</w:t>
            </w:r>
          </w:p>
        </w:tc>
        <w:tc>
          <w:tcPr>
            <w:tcW w:w="952" w:type="dxa"/>
            <w:tcBorders>
              <w:top w:val="nil"/>
              <w:left w:val="nil"/>
              <w:bottom w:val="single" w:color="000000" w:sz="8" w:space="0"/>
              <w:right w:val="single" w:color="000000" w:sz="12" w:space="0"/>
            </w:tcBorders>
            <w:shd w:val="clear" w:color="auto" w:fill="auto"/>
            <w:tcMar>
              <w:top w:w="15" w:type="dxa"/>
              <w:left w:w="15" w:type="dxa"/>
              <w:bottom w:w="15" w:type="dxa"/>
              <w:right w:w="15" w:type="dxa"/>
            </w:tcMar>
            <w:vAlign w:val="center"/>
          </w:tcPr>
          <w:p>
            <w:pPr>
              <w:widowControl/>
              <w:jc w:val="center"/>
              <w:rPr>
                <w:rFonts w:hint="eastAsia" w:asciiTheme="minorEastAsia" w:hAnsiTheme="minorEastAsia" w:eastAsiaTheme="minorEastAsia" w:cstheme="minorEastAsia"/>
                <w:kern w:val="0"/>
                <w:sz w:val="21"/>
                <w:szCs w:val="21"/>
              </w:rPr>
            </w:pPr>
          </w:p>
        </w:tc>
      </w:tr>
      <w:tr>
        <w:tblPrEx>
          <w:tblCellMar>
            <w:top w:w="0" w:type="dxa"/>
            <w:left w:w="0" w:type="dxa"/>
            <w:bottom w:w="0" w:type="dxa"/>
            <w:right w:w="0" w:type="dxa"/>
          </w:tblCellMar>
        </w:tblPrEx>
        <w:trPr>
          <w:trHeight w:val="567" w:hRule="atLeast"/>
          <w:jc w:val="center"/>
        </w:trPr>
        <w:tc>
          <w:tcPr>
            <w:tcW w:w="1168" w:type="dxa"/>
            <w:tcBorders>
              <w:top w:val="nil"/>
              <w:left w:val="single" w:color="000000" w:sz="12" w:space="0"/>
              <w:bottom w:val="single" w:color="000000" w:sz="8" w:space="0"/>
              <w:right w:val="single" w:color="000000" w:sz="8" w:space="0"/>
            </w:tcBorders>
            <w:shd w:val="clear" w:color="auto" w:fill="auto"/>
            <w:tcMar>
              <w:top w:w="15" w:type="dxa"/>
              <w:left w:w="15" w:type="dxa"/>
              <w:bottom w:w="15" w:type="dxa"/>
              <w:right w:w="15" w:type="dxa"/>
            </w:tcMar>
            <w:vAlign w:val="center"/>
          </w:tcPr>
          <w:p>
            <w:pPr>
              <w:numPr>
                <w:ilvl w:val="0"/>
                <w:numId w:val="1"/>
              </w:numPr>
              <w:ind w:left="0" w:leftChars="0" w:firstLine="0" w:firstLineChars="0"/>
              <w:jc w:val="center"/>
              <w:rPr>
                <w:rFonts w:hint="eastAsia" w:ascii="宋体" w:hAnsi="宋体" w:eastAsia="宋体" w:cs="宋体"/>
                <w:lang w:val="en-US" w:eastAsia="zh-CN"/>
              </w:rPr>
            </w:pPr>
          </w:p>
        </w:tc>
        <w:tc>
          <w:tcPr>
            <w:tcW w:w="2881" w:type="dxa"/>
            <w:gridSpan w:val="3"/>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设计单位未在设计文件中注明涉及危大工程的重点部位和环节，未提出保障工程周边环境安全和工程施工安全的意见</w:t>
            </w:r>
          </w:p>
        </w:tc>
        <w:tc>
          <w:tcPr>
            <w:tcW w:w="1104" w:type="dxa"/>
            <w:gridSpan w:val="2"/>
            <w:tcBorders>
              <w:top w:val="nil"/>
              <w:left w:val="nil"/>
              <w:bottom w:val="single" w:color="000000" w:sz="8" w:space="0"/>
              <w:right w:val="single" w:color="auto" w:sz="8"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eastAsia="zh-CN"/>
              </w:rPr>
              <w:t>区住建局</w:t>
            </w:r>
          </w:p>
        </w:tc>
        <w:tc>
          <w:tcPr>
            <w:tcW w:w="200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未造成危害后果或造成轻微危害后果的</w:t>
            </w:r>
          </w:p>
        </w:tc>
        <w:tc>
          <w:tcPr>
            <w:tcW w:w="6301"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危险性较大的分部分项工程安全管理规定》第三十一条：设计单位未在设计文件中注明涉及危大工程的重点部位和环节，未提出保障工程周边环境安全和工程施工安全的意见的，责令限期改正，并处1万元以上3万元以下的罚款；对直接负责的主管人员和其他直接责任人员处1000元以上5000元以下的罚款。</w:t>
            </w:r>
          </w:p>
        </w:tc>
        <w:tc>
          <w:tcPr>
            <w:tcW w:w="952" w:type="dxa"/>
            <w:tcBorders>
              <w:top w:val="nil"/>
              <w:left w:val="nil"/>
              <w:bottom w:val="single" w:color="000000" w:sz="8" w:space="0"/>
              <w:right w:val="single" w:color="000000" w:sz="12" w:space="0"/>
            </w:tcBorders>
            <w:shd w:val="clear" w:color="auto" w:fill="auto"/>
            <w:tcMar>
              <w:top w:w="15" w:type="dxa"/>
              <w:left w:w="15" w:type="dxa"/>
              <w:bottom w:w="15" w:type="dxa"/>
              <w:right w:w="15" w:type="dxa"/>
            </w:tcMar>
            <w:vAlign w:val="center"/>
          </w:tcPr>
          <w:p>
            <w:pPr>
              <w:widowControl/>
              <w:jc w:val="center"/>
              <w:rPr>
                <w:rFonts w:hint="eastAsia" w:asciiTheme="minorEastAsia" w:hAnsiTheme="minorEastAsia" w:eastAsiaTheme="minorEastAsia" w:cstheme="minorEastAsia"/>
                <w:kern w:val="0"/>
                <w:sz w:val="21"/>
                <w:szCs w:val="21"/>
              </w:rPr>
            </w:pPr>
          </w:p>
        </w:tc>
      </w:tr>
      <w:tr>
        <w:tblPrEx>
          <w:tblCellMar>
            <w:top w:w="0" w:type="dxa"/>
            <w:left w:w="0" w:type="dxa"/>
            <w:bottom w:w="0" w:type="dxa"/>
            <w:right w:w="0" w:type="dxa"/>
          </w:tblCellMar>
        </w:tblPrEx>
        <w:trPr>
          <w:trHeight w:val="567" w:hRule="atLeast"/>
          <w:jc w:val="center"/>
        </w:trPr>
        <w:tc>
          <w:tcPr>
            <w:tcW w:w="1168" w:type="dxa"/>
            <w:tcBorders>
              <w:top w:val="nil"/>
              <w:left w:val="single" w:color="000000" w:sz="12" w:space="0"/>
              <w:bottom w:val="single" w:color="000000" w:sz="8" w:space="0"/>
              <w:right w:val="single" w:color="000000" w:sz="8" w:space="0"/>
            </w:tcBorders>
            <w:shd w:val="clear" w:color="auto" w:fill="auto"/>
            <w:tcMar>
              <w:top w:w="15" w:type="dxa"/>
              <w:left w:w="15" w:type="dxa"/>
              <w:bottom w:w="15" w:type="dxa"/>
              <w:right w:w="15" w:type="dxa"/>
            </w:tcMar>
            <w:vAlign w:val="center"/>
          </w:tcPr>
          <w:p>
            <w:pPr>
              <w:numPr>
                <w:ilvl w:val="0"/>
                <w:numId w:val="1"/>
              </w:numPr>
              <w:ind w:left="0" w:leftChars="0" w:firstLine="0" w:firstLineChars="0"/>
              <w:jc w:val="center"/>
              <w:rPr>
                <w:rFonts w:hint="eastAsia" w:ascii="宋体" w:hAnsi="宋体" w:eastAsia="宋体" w:cs="宋体"/>
                <w:lang w:val="en-US" w:eastAsia="zh-CN"/>
              </w:rPr>
            </w:pPr>
          </w:p>
        </w:tc>
        <w:tc>
          <w:tcPr>
            <w:tcW w:w="2881" w:type="dxa"/>
            <w:gridSpan w:val="3"/>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施工单位未按照本规定编制并审核危大工程专项施工方案</w:t>
            </w:r>
          </w:p>
        </w:tc>
        <w:tc>
          <w:tcPr>
            <w:tcW w:w="1104" w:type="dxa"/>
            <w:gridSpan w:val="2"/>
            <w:tcBorders>
              <w:top w:val="nil"/>
              <w:left w:val="nil"/>
              <w:bottom w:val="single" w:color="000000" w:sz="8" w:space="0"/>
              <w:right w:val="single" w:color="auto" w:sz="8"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eastAsia="zh-CN"/>
              </w:rPr>
              <w:t>区住建局</w:t>
            </w:r>
          </w:p>
        </w:tc>
        <w:tc>
          <w:tcPr>
            <w:tcW w:w="200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pacing w:val="-6"/>
                <w:sz w:val="21"/>
                <w:szCs w:val="21"/>
              </w:rPr>
              <w:t>涉及危险性较大分部分项工程，但尚未超过规定规模的</w:t>
            </w:r>
          </w:p>
        </w:tc>
        <w:tc>
          <w:tcPr>
            <w:tcW w:w="6301"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危险性较大的分部分项工程安全管理规定》第三十二条：施工单位未按照本规定编制并审核危大工程专项施工方案的，依照《建设工程安全生产管理条例》对单位进行处罚，并暂扣安全生产许可证30日；对直接负责的主管人员和其他直接责任人员处1000元以上5000元以下的罚款。</w:t>
            </w:r>
          </w:p>
        </w:tc>
        <w:tc>
          <w:tcPr>
            <w:tcW w:w="952" w:type="dxa"/>
            <w:tcBorders>
              <w:top w:val="nil"/>
              <w:left w:val="nil"/>
              <w:bottom w:val="single" w:color="000000" w:sz="8" w:space="0"/>
              <w:right w:val="single" w:color="000000" w:sz="12" w:space="0"/>
            </w:tcBorders>
            <w:shd w:val="clear" w:color="auto" w:fill="auto"/>
            <w:tcMar>
              <w:top w:w="15" w:type="dxa"/>
              <w:left w:w="15" w:type="dxa"/>
              <w:bottom w:w="15" w:type="dxa"/>
              <w:right w:w="15" w:type="dxa"/>
            </w:tcMar>
            <w:vAlign w:val="center"/>
          </w:tcPr>
          <w:p>
            <w:pPr>
              <w:widowControl/>
              <w:jc w:val="center"/>
              <w:rPr>
                <w:rFonts w:hint="eastAsia" w:asciiTheme="minorEastAsia" w:hAnsiTheme="minorEastAsia" w:eastAsiaTheme="minorEastAsia" w:cstheme="minorEastAsia"/>
                <w:kern w:val="0"/>
                <w:sz w:val="21"/>
                <w:szCs w:val="21"/>
              </w:rPr>
            </w:pPr>
          </w:p>
        </w:tc>
      </w:tr>
      <w:tr>
        <w:tblPrEx>
          <w:tblCellMar>
            <w:top w:w="0" w:type="dxa"/>
            <w:left w:w="0" w:type="dxa"/>
            <w:bottom w:w="0" w:type="dxa"/>
            <w:right w:w="0" w:type="dxa"/>
          </w:tblCellMar>
        </w:tblPrEx>
        <w:trPr>
          <w:trHeight w:val="567" w:hRule="atLeast"/>
          <w:jc w:val="center"/>
        </w:trPr>
        <w:tc>
          <w:tcPr>
            <w:tcW w:w="1168" w:type="dxa"/>
            <w:tcBorders>
              <w:top w:val="nil"/>
              <w:left w:val="single" w:color="000000" w:sz="12" w:space="0"/>
              <w:bottom w:val="single" w:color="000000" w:sz="8" w:space="0"/>
              <w:right w:val="single" w:color="000000" w:sz="8" w:space="0"/>
            </w:tcBorders>
            <w:shd w:val="clear" w:color="auto" w:fill="auto"/>
            <w:tcMar>
              <w:top w:w="15" w:type="dxa"/>
              <w:left w:w="15" w:type="dxa"/>
              <w:bottom w:w="15" w:type="dxa"/>
              <w:right w:w="15" w:type="dxa"/>
            </w:tcMar>
            <w:vAlign w:val="center"/>
          </w:tcPr>
          <w:p>
            <w:pPr>
              <w:numPr>
                <w:ilvl w:val="0"/>
                <w:numId w:val="1"/>
              </w:numPr>
              <w:ind w:left="0" w:leftChars="0" w:firstLine="0" w:firstLineChars="0"/>
              <w:jc w:val="center"/>
              <w:rPr>
                <w:rFonts w:hint="eastAsia" w:ascii="宋体" w:hAnsi="宋体" w:eastAsia="宋体" w:cs="宋体"/>
                <w:lang w:val="en-US" w:eastAsia="zh-CN"/>
              </w:rPr>
            </w:pPr>
          </w:p>
        </w:tc>
        <w:tc>
          <w:tcPr>
            <w:tcW w:w="2881" w:type="dxa"/>
            <w:gridSpan w:val="3"/>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未对超过一定规模的危大工程专项施工方案进行专家论证的</w:t>
            </w:r>
          </w:p>
        </w:tc>
        <w:tc>
          <w:tcPr>
            <w:tcW w:w="1104" w:type="dxa"/>
            <w:gridSpan w:val="2"/>
            <w:tcBorders>
              <w:top w:val="nil"/>
              <w:left w:val="nil"/>
              <w:bottom w:val="single" w:color="000000" w:sz="8" w:space="0"/>
              <w:right w:val="single" w:color="auto" w:sz="8"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eastAsia="zh-CN"/>
              </w:rPr>
              <w:t>区住建局</w:t>
            </w:r>
          </w:p>
        </w:tc>
        <w:tc>
          <w:tcPr>
            <w:tcW w:w="200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未造成危害后果或造成轻微危害后果的</w:t>
            </w:r>
          </w:p>
        </w:tc>
        <w:tc>
          <w:tcPr>
            <w:tcW w:w="6301"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pacing w:val="-4"/>
                <w:sz w:val="21"/>
                <w:szCs w:val="21"/>
              </w:rPr>
              <w:t>《危险性较大的分部分项工程安全管理规定》第三十四条：施工单位有下列行为之一的，责令限期改正，处1万元以上3万元以下的罚款，并暂扣安全生产许可证30日；对直接负责的主管人员和其他直接责任人员处1000元以上5000元以下的罚款：（一）未对超过一定规模的危大工程专项施工方案进行专家论证的；（二）未根据专家论证报告对超过一定规模的危大工程专项施工方案进行修改，或者未按照本规定重新组织专家论证的；</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（三）未严格按照专项施工方案组织施工，或者擅自修改专项施工方案的</w:t>
            </w:r>
          </w:p>
        </w:tc>
        <w:tc>
          <w:tcPr>
            <w:tcW w:w="952" w:type="dxa"/>
            <w:tcBorders>
              <w:top w:val="nil"/>
              <w:left w:val="nil"/>
              <w:bottom w:val="single" w:color="000000" w:sz="8" w:space="0"/>
              <w:right w:val="single" w:color="000000" w:sz="12" w:space="0"/>
            </w:tcBorders>
            <w:shd w:val="clear" w:color="auto" w:fill="auto"/>
            <w:tcMar>
              <w:top w:w="15" w:type="dxa"/>
              <w:left w:w="15" w:type="dxa"/>
              <w:bottom w:w="15" w:type="dxa"/>
              <w:right w:w="15" w:type="dxa"/>
            </w:tcMar>
            <w:vAlign w:val="center"/>
          </w:tcPr>
          <w:p>
            <w:pPr>
              <w:widowControl/>
              <w:jc w:val="center"/>
              <w:rPr>
                <w:rFonts w:hint="eastAsia" w:asciiTheme="minorEastAsia" w:hAnsiTheme="minorEastAsia" w:eastAsiaTheme="minorEastAsia" w:cstheme="minorEastAsia"/>
                <w:kern w:val="0"/>
                <w:sz w:val="21"/>
                <w:szCs w:val="21"/>
              </w:rPr>
            </w:pPr>
          </w:p>
        </w:tc>
      </w:tr>
      <w:tr>
        <w:tblPrEx>
          <w:tblCellMar>
            <w:top w:w="0" w:type="dxa"/>
            <w:left w:w="0" w:type="dxa"/>
            <w:bottom w:w="0" w:type="dxa"/>
            <w:right w:w="0" w:type="dxa"/>
          </w:tblCellMar>
        </w:tblPrEx>
        <w:trPr>
          <w:trHeight w:val="567" w:hRule="atLeast"/>
          <w:jc w:val="center"/>
        </w:trPr>
        <w:tc>
          <w:tcPr>
            <w:tcW w:w="1168" w:type="dxa"/>
            <w:tcBorders>
              <w:top w:val="nil"/>
              <w:left w:val="single" w:color="000000" w:sz="12" w:space="0"/>
              <w:bottom w:val="single" w:color="000000" w:sz="8" w:space="0"/>
              <w:right w:val="single" w:color="000000" w:sz="8" w:space="0"/>
            </w:tcBorders>
            <w:shd w:val="clear" w:color="auto" w:fill="auto"/>
            <w:tcMar>
              <w:top w:w="15" w:type="dxa"/>
              <w:left w:w="15" w:type="dxa"/>
              <w:bottom w:w="15" w:type="dxa"/>
              <w:right w:w="15" w:type="dxa"/>
            </w:tcMar>
            <w:vAlign w:val="center"/>
          </w:tcPr>
          <w:p>
            <w:pPr>
              <w:numPr>
                <w:ilvl w:val="0"/>
                <w:numId w:val="1"/>
              </w:numPr>
              <w:ind w:left="0" w:leftChars="0" w:firstLine="0" w:firstLineChars="0"/>
              <w:jc w:val="center"/>
              <w:rPr>
                <w:rFonts w:hint="eastAsia" w:ascii="宋体" w:hAnsi="宋体" w:eastAsia="宋体" w:cs="宋体"/>
                <w:lang w:val="en-US" w:eastAsia="zh-CN"/>
              </w:rPr>
            </w:pPr>
          </w:p>
        </w:tc>
        <w:tc>
          <w:tcPr>
            <w:tcW w:w="2881" w:type="dxa"/>
            <w:gridSpan w:val="3"/>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未根据专家论证报告对超过一定规模的危大工程专项施工方案进行修改，或者未按照本规定重新组织专家论证</w:t>
            </w:r>
          </w:p>
        </w:tc>
        <w:tc>
          <w:tcPr>
            <w:tcW w:w="1104" w:type="dxa"/>
            <w:gridSpan w:val="2"/>
            <w:tcBorders>
              <w:top w:val="nil"/>
              <w:left w:val="nil"/>
              <w:bottom w:val="single" w:color="000000" w:sz="8" w:space="0"/>
              <w:right w:val="single" w:color="auto" w:sz="8"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eastAsia="zh-CN"/>
              </w:rPr>
              <w:t>区住建局</w:t>
            </w:r>
          </w:p>
        </w:tc>
        <w:tc>
          <w:tcPr>
            <w:tcW w:w="200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未造成危害后果或造成轻微危害后果的</w:t>
            </w:r>
          </w:p>
        </w:tc>
        <w:tc>
          <w:tcPr>
            <w:tcW w:w="6301"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危险性较大的分部分项工程安全管理规定》第三十四条：施工单位有下列行为之一的，责令限期改正，处1万元以上3万元以下的罚款，并暂扣安全生产许可证30日；对直接负责的主管人员和其他直接责任人员处1000元以上5000元以下的罚款：（一）未对超过一定规模的危大工程专项施工方案进行专家论证的；（二）未根据专家论证报告对超过一定规模的危大工程专项施工方案进行修改，或者未按照本规定重新组织专家论证的；（三）未严格按照专项施工方案组织施工，或者擅自修改专项施工方案的。</w:t>
            </w:r>
          </w:p>
        </w:tc>
        <w:tc>
          <w:tcPr>
            <w:tcW w:w="952" w:type="dxa"/>
            <w:tcBorders>
              <w:top w:val="nil"/>
              <w:left w:val="nil"/>
              <w:bottom w:val="single" w:color="000000" w:sz="8" w:space="0"/>
              <w:right w:val="single" w:color="000000" w:sz="12" w:space="0"/>
            </w:tcBorders>
            <w:shd w:val="clear" w:color="auto" w:fill="auto"/>
            <w:tcMar>
              <w:top w:w="15" w:type="dxa"/>
              <w:left w:w="15" w:type="dxa"/>
              <w:bottom w:w="15" w:type="dxa"/>
              <w:right w:w="15" w:type="dxa"/>
            </w:tcMar>
            <w:vAlign w:val="center"/>
          </w:tcPr>
          <w:p>
            <w:pPr>
              <w:widowControl/>
              <w:jc w:val="center"/>
              <w:rPr>
                <w:rFonts w:hint="eastAsia" w:asciiTheme="minorEastAsia" w:hAnsiTheme="minorEastAsia" w:eastAsiaTheme="minorEastAsia" w:cstheme="minorEastAsia"/>
                <w:kern w:val="0"/>
                <w:sz w:val="21"/>
                <w:szCs w:val="21"/>
              </w:rPr>
            </w:pPr>
          </w:p>
        </w:tc>
      </w:tr>
      <w:tr>
        <w:tblPrEx>
          <w:tblCellMar>
            <w:top w:w="0" w:type="dxa"/>
            <w:left w:w="0" w:type="dxa"/>
            <w:bottom w:w="0" w:type="dxa"/>
            <w:right w:w="0" w:type="dxa"/>
          </w:tblCellMar>
        </w:tblPrEx>
        <w:trPr>
          <w:trHeight w:val="567" w:hRule="atLeast"/>
          <w:jc w:val="center"/>
        </w:trPr>
        <w:tc>
          <w:tcPr>
            <w:tcW w:w="1168" w:type="dxa"/>
            <w:tcBorders>
              <w:top w:val="nil"/>
              <w:left w:val="single" w:color="000000" w:sz="12" w:space="0"/>
              <w:bottom w:val="single" w:color="000000" w:sz="8" w:space="0"/>
              <w:right w:val="single" w:color="000000" w:sz="8" w:space="0"/>
            </w:tcBorders>
            <w:shd w:val="clear" w:color="auto" w:fill="auto"/>
            <w:tcMar>
              <w:top w:w="15" w:type="dxa"/>
              <w:left w:w="15" w:type="dxa"/>
              <w:bottom w:w="15" w:type="dxa"/>
              <w:right w:w="15" w:type="dxa"/>
            </w:tcMar>
            <w:vAlign w:val="center"/>
          </w:tcPr>
          <w:p>
            <w:pPr>
              <w:numPr>
                <w:ilvl w:val="0"/>
                <w:numId w:val="1"/>
              </w:numPr>
              <w:ind w:left="0" w:leftChars="0" w:firstLine="0" w:firstLineChars="0"/>
              <w:jc w:val="center"/>
              <w:rPr>
                <w:rFonts w:hint="eastAsia" w:ascii="宋体" w:hAnsi="宋体" w:eastAsia="宋体" w:cs="宋体"/>
                <w:lang w:val="en-US" w:eastAsia="zh-CN"/>
              </w:rPr>
            </w:pPr>
          </w:p>
        </w:tc>
        <w:tc>
          <w:tcPr>
            <w:tcW w:w="2881" w:type="dxa"/>
            <w:gridSpan w:val="3"/>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未严格按照专项施工方案组织施工，或者擅自修改专项施工方案</w:t>
            </w:r>
          </w:p>
        </w:tc>
        <w:tc>
          <w:tcPr>
            <w:tcW w:w="1104" w:type="dxa"/>
            <w:gridSpan w:val="2"/>
            <w:tcBorders>
              <w:top w:val="nil"/>
              <w:left w:val="nil"/>
              <w:bottom w:val="single" w:color="000000" w:sz="8" w:space="0"/>
              <w:right w:val="single" w:color="auto" w:sz="8"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eastAsia="zh-CN"/>
              </w:rPr>
              <w:t>区住建局</w:t>
            </w:r>
          </w:p>
        </w:tc>
        <w:tc>
          <w:tcPr>
            <w:tcW w:w="200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未造成危害后果或造成轻微危害后果的</w:t>
            </w:r>
          </w:p>
        </w:tc>
        <w:tc>
          <w:tcPr>
            <w:tcW w:w="6301"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危险性较大的分部分项工程安全管理规定》第三十四条：施工单位有下列行为之一的，责令限期改正，处1万元以上3万元以下的罚款，并暂扣安全生产许可证30日；对直接负责的主管人员和其他直接责任人员处1000元以上5000元以下的罚款：（一）未对超过一定规模的危大工程专项施工方案进行专家论证的（二）未根据专家论证报告对超过一定规模的危大工程专项施工方案进行修改，或者未按照本规定重新组织专家论证的（三）未严格按照专项施工方案组织施工，或者擅自修改专项施工方案的</w:t>
            </w:r>
          </w:p>
        </w:tc>
        <w:tc>
          <w:tcPr>
            <w:tcW w:w="952" w:type="dxa"/>
            <w:tcBorders>
              <w:top w:val="nil"/>
              <w:left w:val="nil"/>
              <w:bottom w:val="single" w:color="000000" w:sz="8" w:space="0"/>
              <w:right w:val="single" w:color="000000" w:sz="12" w:space="0"/>
            </w:tcBorders>
            <w:shd w:val="clear" w:color="auto" w:fill="auto"/>
            <w:tcMar>
              <w:top w:w="15" w:type="dxa"/>
              <w:left w:w="15" w:type="dxa"/>
              <w:bottom w:w="15" w:type="dxa"/>
              <w:right w:w="15" w:type="dxa"/>
            </w:tcMar>
            <w:vAlign w:val="center"/>
          </w:tcPr>
          <w:p>
            <w:pPr>
              <w:widowControl/>
              <w:jc w:val="center"/>
              <w:rPr>
                <w:rFonts w:hint="eastAsia" w:asciiTheme="minorEastAsia" w:hAnsiTheme="minorEastAsia" w:eastAsiaTheme="minorEastAsia" w:cstheme="minorEastAsia"/>
                <w:kern w:val="0"/>
                <w:sz w:val="21"/>
                <w:szCs w:val="21"/>
              </w:rPr>
            </w:pPr>
          </w:p>
        </w:tc>
      </w:tr>
      <w:tr>
        <w:tblPrEx>
          <w:tblCellMar>
            <w:top w:w="0" w:type="dxa"/>
            <w:left w:w="0" w:type="dxa"/>
            <w:bottom w:w="0" w:type="dxa"/>
            <w:right w:w="0" w:type="dxa"/>
          </w:tblCellMar>
        </w:tblPrEx>
        <w:trPr>
          <w:trHeight w:val="567" w:hRule="atLeast"/>
          <w:jc w:val="center"/>
        </w:trPr>
        <w:tc>
          <w:tcPr>
            <w:tcW w:w="1168" w:type="dxa"/>
            <w:tcBorders>
              <w:top w:val="nil"/>
              <w:left w:val="single" w:color="000000" w:sz="12" w:space="0"/>
              <w:bottom w:val="single" w:color="000000" w:sz="8" w:space="0"/>
              <w:right w:val="single" w:color="000000" w:sz="8" w:space="0"/>
            </w:tcBorders>
            <w:shd w:val="clear" w:color="auto" w:fill="auto"/>
            <w:tcMar>
              <w:top w:w="15" w:type="dxa"/>
              <w:left w:w="15" w:type="dxa"/>
              <w:bottom w:w="15" w:type="dxa"/>
              <w:right w:w="15" w:type="dxa"/>
            </w:tcMar>
            <w:vAlign w:val="center"/>
          </w:tcPr>
          <w:p>
            <w:pPr>
              <w:numPr>
                <w:ilvl w:val="0"/>
                <w:numId w:val="1"/>
              </w:numPr>
              <w:ind w:left="0" w:leftChars="0" w:firstLine="0" w:firstLineChars="0"/>
              <w:jc w:val="center"/>
              <w:rPr>
                <w:rFonts w:hint="eastAsia" w:ascii="宋体" w:hAnsi="宋体" w:eastAsia="宋体" w:cs="宋体"/>
                <w:lang w:val="en-US" w:eastAsia="zh-CN"/>
              </w:rPr>
            </w:pPr>
          </w:p>
        </w:tc>
        <w:tc>
          <w:tcPr>
            <w:tcW w:w="2881" w:type="dxa"/>
            <w:gridSpan w:val="3"/>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项目负责人未按照本规定现场履职或者组织限期整改</w:t>
            </w:r>
          </w:p>
        </w:tc>
        <w:tc>
          <w:tcPr>
            <w:tcW w:w="1104" w:type="dxa"/>
            <w:gridSpan w:val="2"/>
            <w:tcBorders>
              <w:top w:val="nil"/>
              <w:left w:val="nil"/>
              <w:bottom w:val="single" w:color="000000" w:sz="8" w:space="0"/>
              <w:right w:val="single" w:color="auto" w:sz="8"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eastAsia="zh-CN"/>
              </w:rPr>
              <w:t>区住建局</w:t>
            </w:r>
          </w:p>
        </w:tc>
        <w:tc>
          <w:tcPr>
            <w:tcW w:w="200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未造成危害后果或造成轻微危害后果的</w:t>
            </w:r>
          </w:p>
        </w:tc>
        <w:tc>
          <w:tcPr>
            <w:tcW w:w="6301"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危险性较大的分部分项工程安全管理规定》第三十五条：施工单位有下列行为之一的，责令限期改正，并处1万元以上3万元以下的罚款；对直接负责的主管人员和其他直接责任人员处1000元以上5000元以下的罚款：（一）项目负责人未按照本规定现场履职或者组织限期整改的；（二）施工单位未按照本规定进行施工监测和安全巡视的；（三）未按照本规定组织危大工程验收的；（四）发生险情或者事故时，未采取应急处置措施的；（五）未按照本规定建立危大工程安全管理档案的。</w:t>
            </w:r>
          </w:p>
        </w:tc>
        <w:tc>
          <w:tcPr>
            <w:tcW w:w="952" w:type="dxa"/>
            <w:tcBorders>
              <w:top w:val="nil"/>
              <w:left w:val="nil"/>
              <w:bottom w:val="single" w:color="000000" w:sz="8" w:space="0"/>
              <w:right w:val="single" w:color="000000" w:sz="12" w:space="0"/>
            </w:tcBorders>
            <w:shd w:val="clear" w:color="auto" w:fill="auto"/>
            <w:tcMar>
              <w:top w:w="15" w:type="dxa"/>
              <w:left w:w="15" w:type="dxa"/>
              <w:bottom w:w="15" w:type="dxa"/>
              <w:right w:w="15" w:type="dxa"/>
            </w:tcMar>
            <w:vAlign w:val="center"/>
          </w:tcPr>
          <w:p>
            <w:pPr>
              <w:widowControl/>
              <w:jc w:val="center"/>
              <w:rPr>
                <w:rFonts w:hint="eastAsia" w:asciiTheme="minorEastAsia" w:hAnsiTheme="minorEastAsia" w:eastAsiaTheme="minorEastAsia" w:cstheme="minorEastAsia"/>
                <w:kern w:val="0"/>
                <w:sz w:val="21"/>
                <w:szCs w:val="21"/>
              </w:rPr>
            </w:pPr>
          </w:p>
        </w:tc>
      </w:tr>
      <w:tr>
        <w:tblPrEx>
          <w:tblCellMar>
            <w:top w:w="0" w:type="dxa"/>
            <w:left w:w="0" w:type="dxa"/>
            <w:bottom w:w="0" w:type="dxa"/>
            <w:right w:w="0" w:type="dxa"/>
          </w:tblCellMar>
        </w:tblPrEx>
        <w:trPr>
          <w:trHeight w:val="567" w:hRule="atLeast"/>
          <w:jc w:val="center"/>
        </w:trPr>
        <w:tc>
          <w:tcPr>
            <w:tcW w:w="1168" w:type="dxa"/>
            <w:tcBorders>
              <w:top w:val="nil"/>
              <w:left w:val="single" w:color="000000" w:sz="12" w:space="0"/>
              <w:bottom w:val="single" w:color="000000" w:sz="8" w:space="0"/>
              <w:right w:val="single" w:color="000000" w:sz="8" w:space="0"/>
            </w:tcBorders>
            <w:shd w:val="clear" w:color="auto" w:fill="auto"/>
            <w:tcMar>
              <w:top w:w="15" w:type="dxa"/>
              <w:left w:w="15" w:type="dxa"/>
              <w:bottom w:w="15" w:type="dxa"/>
              <w:right w:w="15" w:type="dxa"/>
            </w:tcMar>
            <w:vAlign w:val="center"/>
          </w:tcPr>
          <w:p>
            <w:pPr>
              <w:numPr>
                <w:ilvl w:val="0"/>
                <w:numId w:val="1"/>
              </w:numPr>
              <w:ind w:left="0" w:leftChars="0" w:firstLine="0" w:firstLineChars="0"/>
              <w:jc w:val="center"/>
              <w:rPr>
                <w:rFonts w:hint="eastAsia" w:ascii="宋体" w:hAnsi="宋体" w:eastAsia="宋体" w:cs="宋体"/>
                <w:lang w:val="en-US" w:eastAsia="zh-CN"/>
              </w:rPr>
            </w:pPr>
          </w:p>
        </w:tc>
        <w:tc>
          <w:tcPr>
            <w:tcW w:w="2881" w:type="dxa"/>
            <w:gridSpan w:val="3"/>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施工单位未按照本规定进行施工监测和安全巡视</w:t>
            </w:r>
          </w:p>
        </w:tc>
        <w:tc>
          <w:tcPr>
            <w:tcW w:w="1104" w:type="dxa"/>
            <w:gridSpan w:val="2"/>
            <w:tcBorders>
              <w:top w:val="nil"/>
              <w:left w:val="nil"/>
              <w:bottom w:val="single" w:color="000000" w:sz="8" w:space="0"/>
              <w:right w:val="single" w:color="auto" w:sz="8"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eastAsia="zh-CN"/>
              </w:rPr>
              <w:t>区住建局</w:t>
            </w:r>
          </w:p>
        </w:tc>
        <w:tc>
          <w:tcPr>
            <w:tcW w:w="200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未造成危害后果或造成轻微危害后果的</w:t>
            </w:r>
          </w:p>
        </w:tc>
        <w:tc>
          <w:tcPr>
            <w:tcW w:w="6301"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危险性较大的分部分项工程安全管理规定》第三十五条：施工单位有下列行为之一的，责令限期改正，并处1万元以上3万元以下的罚款；对直接负责的主管人员和其他直接责任人员处1000元以上5000元以下的罚款：（一）项目负责人未按照本规定现场履职或者组织限期整改的；（二）施工单位未按照本规定进行施工监测和安全巡视的；（三）未按照本规定组织危大工程验收的；（四）发生险情或者事故时，未采取应急处置措施的；（五）未按照本规定建立危大工程安全管理档案的。</w:t>
            </w:r>
          </w:p>
        </w:tc>
        <w:tc>
          <w:tcPr>
            <w:tcW w:w="952" w:type="dxa"/>
            <w:tcBorders>
              <w:top w:val="nil"/>
              <w:left w:val="nil"/>
              <w:bottom w:val="single" w:color="000000" w:sz="8" w:space="0"/>
              <w:right w:val="single" w:color="000000" w:sz="12" w:space="0"/>
            </w:tcBorders>
            <w:shd w:val="clear" w:color="auto" w:fill="auto"/>
            <w:tcMar>
              <w:top w:w="15" w:type="dxa"/>
              <w:left w:w="15" w:type="dxa"/>
              <w:bottom w:w="15" w:type="dxa"/>
              <w:right w:w="15" w:type="dxa"/>
            </w:tcMar>
            <w:vAlign w:val="center"/>
          </w:tcPr>
          <w:p>
            <w:pPr>
              <w:widowControl/>
              <w:jc w:val="center"/>
              <w:rPr>
                <w:rFonts w:hint="eastAsia" w:asciiTheme="minorEastAsia" w:hAnsiTheme="minorEastAsia" w:eastAsiaTheme="minorEastAsia" w:cstheme="minorEastAsia"/>
                <w:kern w:val="0"/>
                <w:sz w:val="21"/>
                <w:szCs w:val="21"/>
              </w:rPr>
            </w:pPr>
          </w:p>
        </w:tc>
      </w:tr>
      <w:tr>
        <w:tblPrEx>
          <w:tblCellMar>
            <w:top w:w="0" w:type="dxa"/>
            <w:left w:w="0" w:type="dxa"/>
            <w:bottom w:w="0" w:type="dxa"/>
            <w:right w:w="0" w:type="dxa"/>
          </w:tblCellMar>
        </w:tblPrEx>
        <w:trPr>
          <w:trHeight w:val="567" w:hRule="atLeast"/>
          <w:jc w:val="center"/>
        </w:trPr>
        <w:tc>
          <w:tcPr>
            <w:tcW w:w="1168" w:type="dxa"/>
            <w:tcBorders>
              <w:top w:val="nil"/>
              <w:left w:val="single" w:color="000000" w:sz="12" w:space="0"/>
              <w:bottom w:val="single" w:color="000000" w:sz="8" w:space="0"/>
              <w:right w:val="single" w:color="000000" w:sz="8" w:space="0"/>
            </w:tcBorders>
            <w:shd w:val="clear" w:color="auto" w:fill="auto"/>
            <w:tcMar>
              <w:top w:w="15" w:type="dxa"/>
              <w:left w:w="15" w:type="dxa"/>
              <w:bottom w:w="15" w:type="dxa"/>
              <w:right w:w="15" w:type="dxa"/>
            </w:tcMar>
            <w:vAlign w:val="center"/>
          </w:tcPr>
          <w:p>
            <w:pPr>
              <w:numPr>
                <w:ilvl w:val="0"/>
                <w:numId w:val="1"/>
              </w:numPr>
              <w:ind w:left="0" w:leftChars="0" w:firstLine="0" w:firstLineChars="0"/>
              <w:jc w:val="center"/>
              <w:rPr>
                <w:rFonts w:hint="eastAsia" w:ascii="宋体" w:hAnsi="宋体" w:eastAsia="宋体" w:cs="宋体"/>
                <w:lang w:val="en-US" w:eastAsia="zh-CN"/>
              </w:rPr>
            </w:pPr>
          </w:p>
        </w:tc>
        <w:tc>
          <w:tcPr>
            <w:tcW w:w="2881" w:type="dxa"/>
            <w:gridSpan w:val="3"/>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未按照本规定组织危大工程验收</w:t>
            </w:r>
          </w:p>
        </w:tc>
        <w:tc>
          <w:tcPr>
            <w:tcW w:w="1104" w:type="dxa"/>
            <w:gridSpan w:val="2"/>
            <w:tcBorders>
              <w:top w:val="nil"/>
              <w:left w:val="nil"/>
              <w:bottom w:val="single" w:color="000000" w:sz="8" w:space="0"/>
              <w:right w:val="single" w:color="auto" w:sz="8"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eastAsia="zh-CN"/>
              </w:rPr>
              <w:t>区住建局</w:t>
            </w:r>
          </w:p>
        </w:tc>
        <w:tc>
          <w:tcPr>
            <w:tcW w:w="200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未造成危害后果或造成轻微危害后果的</w:t>
            </w:r>
          </w:p>
        </w:tc>
        <w:tc>
          <w:tcPr>
            <w:tcW w:w="6301"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危险性较大的分部分项工程安全管理规定》第三十五条：施工单位有下列行为之一的，责令限期改正，并处1万元以上3万元以下的罚款；对直接负责的主管人员和其他直接责任人员处1000元以上5000元以下的罚款：（一）项目负责人未按照本规定现场履职或者组织限期整改的（二）施工单位未按照本规定进行施工监测和安全巡视的；（三）未按照本规定组织危大工程验收的；（四）发生险情或者事故时，未采取应急处置措施的；（五）未按照本规定建立危大工程安全管理档案的。</w:t>
            </w:r>
          </w:p>
        </w:tc>
        <w:tc>
          <w:tcPr>
            <w:tcW w:w="952" w:type="dxa"/>
            <w:tcBorders>
              <w:top w:val="nil"/>
              <w:left w:val="nil"/>
              <w:bottom w:val="single" w:color="000000" w:sz="8" w:space="0"/>
              <w:right w:val="single" w:color="000000" w:sz="12" w:space="0"/>
            </w:tcBorders>
            <w:shd w:val="clear" w:color="auto" w:fill="auto"/>
            <w:tcMar>
              <w:top w:w="15" w:type="dxa"/>
              <w:left w:w="15" w:type="dxa"/>
              <w:bottom w:w="15" w:type="dxa"/>
              <w:right w:w="15" w:type="dxa"/>
            </w:tcMar>
            <w:vAlign w:val="center"/>
          </w:tcPr>
          <w:p>
            <w:pPr>
              <w:widowControl/>
              <w:jc w:val="center"/>
              <w:rPr>
                <w:rFonts w:hint="eastAsia" w:asciiTheme="minorEastAsia" w:hAnsiTheme="minorEastAsia" w:eastAsiaTheme="minorEastAsia" w:cstheme="minorEastAsia"/>
                <w:kern w:val="0"/>
                <w:sz w:val="21"/>
                <w:szCs w:val="21"/>
              </w:rPr>
            </w:pPr>
          </w:p>
        </w:tc>
      </w:tr>
      <w:tr>
        <w:tblPrEx>
          <w:tblCellMar>
            <w:top w:w="0" w:type="dxa"/>
            <w:left w:w="0" w:type="dxa"/>
            <w:bottom w:w="0" w:type="dxa"/>
            <w:right w:w="0" w:type="dxa"/>
          </w:tblCellMar>
        </w:tblPrEx>
        <w:trPr>
          <w:trHeight w:val="567" w:hRule="atLeast"/>
          <w:jc w:val="center"/>
        </w:trPr>
        <w:tc>
          <w:tcPr>
            <w:tcW w:w="1168" w:type="dxa"/>
            <w:tcBorders>
              <w:top w:val="nil"/>
              <w:left w:val="single" w:color="000000" w:sz="12" w:space="0"/>
              <w:bottom w:val="single" w:color="000000" w:sz="8" w:space="0"/>
              <w:right w:val="single" w:color="000000" w:sz="8" w:space="0"/>
            </w:tcBorders>
            <w:shd w:val="clear" w:color="auto" w:fill="auto"/>
            <w:tcMar>
              <w:top w:w="15" w:type="dxa"/>
              <w:left w:w="15" w:type="dxa"/>
              <w:bottom w:w="15" w:type="dxa"/>
              <w:right w:w="15" w:type="dxa"/>
            </w:tcMar>
            <w:vAlign w:val="center"/>
          </w:tcPr>
          <w:p>
            <w:pPr>
              <w:numPr>
                <w:ilvl w:val="0"/>
                <w:numId w:val="1"/>
              </w:numPr>
              <w:ind w:left="0" w:leftChars="0" w:firstLine="0" w:firstLineChars="0"/>
              <w:jc w:val="center"/>
              <w:rPr>
                <w:rFonts w:hint="eastAsia" w:ascii="宋体" w:hAnsi="宋体" w:eastAsia="宋体" w:cs="宋体"/>
                <w:lang w:val="en-US" w:eastAsia="zh-CN"/>
              </w:rPr>
            </w:pPr>
          </w:p>
        </w:tc>
        <w:tc>
          <w:tcPr>
            <w:tcW w:w="2881" w:type="dxa"/>
            <w:gridSpan w:val="3"/>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发生险情或者事故时，未采取应急处置措施</w:t>
            </w:r>
          </w:p>
        </w:tc>
        <w:tc>
          <w:tcPr>
            <w:tcW w:w="1104" w:type="dxa"/>
            <w:gridSpan w:val="2"/>
            <w:tcBorders>
              <w:top w:val="nil"/>
              <w:left w:val="nil"/>
              <w:bottom w:val="single" w:color="000000" w:sz="8" w:space="0"/>
              <w:right w:val="single" w:color="auto" w:sz="8"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eastAsia="zh-CN"/>
              </w:rPr>
              <w:t>区住建局</w:t>
            </w:r>
          </w:p>
        </w:tc>
        <w:tc>
          <w:tcPr>
            <w:tcW w:w="200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未造成危害后果或造成轻微危害后果的</w:t>
            </w:r>
          </w:p>
        </w:tc>
        <w:tc>
          <w:tcPr>
            <w:tcW w:w="6301"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危险性较大的分部分项工程安全管理规定》第三十五条：施工单位有下列行为之一的，责令限期改正，并处1万元以上3万元以下的罚款；对直接负责的主管人员和其他直接责任人员处1000元以上5000元以下的罚款：（一）项目负责人未按照本规定现场履职或者组织限期整改的；（二）施工单位未按照本规定进行施工监测和安全巡视的；（三）未按照本规定组织危大工程验收的；（四）发生险情或者事故时，未采取应急处置措施的；（五）未按照本规定建立危大工程安全管理档案的。</w:t>
            </w:r>
          </w:p>
        </w:tc>
        <w:tc>
          <w:tcPr>
            <w:tcW w:w="952" w:type="dxa"/>
            <w:tcBorders>
              <w:top w:val="nil"/>
              <w:left w:val="nil"/>
              <w:bottom w:val="single" w:color="000000" w:sz="8" w:space="0"/>
              <w:right w:val="single" w:color="000000" w:sz="12" w:space="0"/>
            </w:tcBorders>
            <w:shd w:val="clear" w:color="auto" w:fill="auto"/>
            <w:tcMar>
              <w:top w:w="15" w:type="dxa"/>
              <w:left w:w="15" w:type="dxa"/>
              <w:bottom w:w="15" w:type="dxa"/>
              <w:right w:w="15" w:type="dxa"/>
            </w:tcMar>
            <w:vAlign w:val="center"/>
          </w:tcPr>
          <w:p>
            <w:pPr>
              <w:widowControl/>
              <w:jc w:val="center"/>
              <w:rPr>
                <w:rFonts w:hint="eastAsia" w:asciiTheme="minorEastAsia" w:hAnsiTheme="minorEastAsia" w:eastAsiaTheme="minorEastAsia" w:cstheme="minorEastAsia"/>
                <w:kern w:val="0"/>
                <w:sz w:val="21"/>
                <w:szCs w:val="21"/>
              </w:rPr>
            </w:pPr>
          </w:p>
        </w:tc>
      </w:tr>
      <w:tr>
        <w:tblPrEx>
          <w:tblCellMar>
            <w:top w:w="0" w:type="dxa"/>
            <w:left w:w="0" w:type="dxa"/>
            <w:bottom w:w="0" w:type="dxa"/>
            <w:right w:w="0" w:type="dxa"/>
          </w:tblCellMar>
        </w:tblPrEx>
        <w:trPr>
          <w:trHeight w:val="567" w:hRule="atLeast"/>
          <w:jc w:val="center"/>
        </w:trPr>
        <w:tc>
          <w:tcPr>
            <w:tcW w:w="1168" w:type="dxa"/>
            <w:tcBorders>
              <w:top w:val="nil"/>
              <w:left w:val="single" w:color="000000" w:sz="12" w:space="0"/>
              <w:bottom w:val="single" w:color="000000" w:sz="8" w:space="0"/>
              <w:right w:val="single" w:color="000000" w:sz="8" w:space="0"/>
            </w:tcBorders>
            <w:shd w:val="clear" w:color="auto" w:fill="auto"/>
            <w:tcMar>
              <w:top w:w="15" w:type="dxa"/>
              <w:left w:w="15" w:type="dxa"/>
              <w:bottom w:w="15" w:type="dxa"/>
              <w:right w:w="15" w:type="dxa"/>
            </w:tcMar>
            <w:vAlign w:val="center"/>
          </w:tcPr>
          <w:p>
            <w:pPr>
              <w:numPr>
                <w:ilvl w:val="0"/>
                <w:numId w:val="1"/>
              </w:numPr>
              <w:ind w:left="0" w:leftChars="0" w:firstLine="0" w:firstLineChars="0"/>
              <w:jc w:val="center"/>
              <w:rPr>
                <w:rFonts w:hint="eastAsia" w:ascii="宋体" w:hAnsi="宋体" w:eastAsia="宋体" w:cs="宋体"/>
                <w:lang w:val="en-US" w:eastAsia="zh-CN"/>
              </w:rPr>
            </w:pPr>
          </w:p>
        </w:tc>
        <w:tc>
          <w:tcPr>
            <w:tcW w:w="2881" w:type="dxa"/>
            <w:gridSpan w:val="3"/>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未按照本规定建立危大工程安全管理档案</w:t>
            </w:r>
          </w:p>
        </w:tc>
        <w:tc>
          <w:tcPr>
            <w:tcW w:w="1104" w:type="dxa"/>
            <w:gridSpan w:val="2"/>
            <w:tcBorders>
              <w:top w:val="nil"/>
              <w:left w:val="nil"/>
              <w:bottom w:val="single" w:color="000000" w:sz="8" w:space="0"/>
              <w:right w:val="single" w:color="auto" w:sz="8"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eastAsia="zh-CN"/>
              </w:rPr>
              <w:t>区住建局</w:t>
            </w:r>
          </w:p>
        </w:tc>
        <w:tc>
          <w:tcPr>
            <w:tcW w:w="200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未造成危害后果或造成轻微危害后果的</w:t>
            </w:r>
          </w:p>
        </w:tc>
        <w:tc>
          <w:tcPr>
            <w:tcW w:w="6301"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危险性较大的分部分项工程安全管理规定》第三十五条：施工单位有下列行为之一的，责令限期改正，并处1万元以上3万元以下的罚款；对直接负责的主管人员和其他直接责任人员处1000元以上5000元以下的罚款：（一）项目负责人未按照本规定现场履职或者组织限期整改的；</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（二）施工单位未按照本规定进行施工监测和安全巡视的；（三）未按照本规定组织危大工程验收的；（四）发生险情或者事故时，未采取应急处置措施的；（五）未按照本规定建立危大工程安全管理档案的。</w:t>
            </w:r>
          </w:p>
        </w:tc>
        <w:tc>
          <w:tcPr>
            <w:tcW w:w="952" w:type="dxa"/>
            <w:tcBorders>
              <w:top w:val="nil"/>
              <w:left w:val="nil"/>
              <w:bottom w:val="single" w:color="000000" w:sz="8" w:space="0"/>
              <w:right w:val="single" w:color="000000" w:sz="12" w:space="0"/>
            </w:tcBorders>
            <w:shd w:val="clear" w:color="auto" w:fill="auto"/>
            <w:tcMar>
              <w:top w:w="15" w:type="dxa"/>
              <w:left w:w="15" w:type="dxa"/>
              <w:bottom w:w="15" w:type="dxa"/>
              <w:right w:w="15" w:type="dxa"/>
            </w:tcMar>
            <w:vAlign w:val="center"/>
          </w:tcPr>
          <w:p>
            <w:pPr>
              <w:widowControl/>
              <w:jc w:val="center"/>
              <w:rPr>
                <w:rFonts w:hint="eastAsia" w:asciiTheme="minorEastAsia" w:hAnsiTheme="minorEastAsia" w:eastAsiaTheme="minorEastAsia" w:cstheme="minorEastAsia"/>
                <w:kern w:val="0"/>
                <w:sz w:val="21"/>
                <w:szCs w:val="21"/>
              </w:rPr>
            </w:pPr>
          </w:p>
        </w:tc>
      </w:tr>
      <w:tr>
        <w:tblPrEx>
          <w:tblCellMar>
            <w:top w:w="0" w:type="dxa"/>
            <w:left w:w="0" w:type="dxa"/>
            <w:bottom w:w="0" w:type="dxa"/>
            <w:right w:w="0" w:type="dxa"/>
          </w:tblCellMar>
        </w:tblPrEx>
        <w:trPr>
          <w:trHeight w:val="567" w:hRule="atLeast"/>
          <w:jc w:val="center"/>
        </w:trPr>
        <w:tc>
          <w:tcPr>
            <w:tcW w:w="1168" w:type="dxa"/>
            <w:tcBorders>
              <w:top w:val="nil"/>
              <w:left w:val="single" w:color="000000" w:sz="12" w:space="0"/>
              <w:bottom w:val="single" w:color="000000" w:sz="8" w:space="0"/>
              <w:right w:val="single" w:color="000000" w:sz="8" w:space="0"/>
            </w:tcBorders>
            <w:shd w:val="clear" w:color="auto" w:fill="auto"/>
            <w:tcMar>
              <w:top w:w="15" w:type="dxa"/>
              <w:left w:w="15" w:type="dxa"/>
              <w:bottom w:w="15" w:type="dxa"/>
              <w:right w:w="15" w:type="dxa"/>
            </w:tcMar>
            <w:vAlign w:val="center"/>
          </w:tcPr>
          <w:p>
            <w:pPr>
              <w:numPr>
                <w:ilvl w:val="0"/>
                <w:numId w:val="1"/>
              </w:numPr>
              <w:ind w:left="0" w:leftChars="0" w:firstLine="0" w:firstLineChars="0"/>
              <w:jc w:val="center"/>
              <w:rPr>
                <w:rFonts w:hint="eastAsia" w:ascii="宋体" w:hAnsi="宋体" w:eastAsia="宋体" w:cs="宋体"/>
                <w:lang w:val="en-US" w:eastAsia="zh-CN"/>
              </w:rPr>
            </w:pPr>
          </w:p>
        </w:tc>
        <w:tc>
          <w:tcPr>
            <w:tcW w:w="2881" w:type="dxa"/>
            <w:gridSpan w:val="3"/>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总监理工程师未按照本规定审查危大工程专项施工方案</w:t>
            </w:r>
          </w:p>
        </w:tc>
        <w:tc>
          <w:tcPr>
            <w:tcW w:w="1104" w:type="dxa"/>
            <w:gridSpan w:val="2"/>
            <w:tcBorders>
              <w:top w:val="nil"/>
              <w:left w:val="nil"/>
              <w:bottom w:val="single" w:color="000000" w:sz="8" w:space="0"/>
              <w:right w:val="single" w:color="auto" w:sz="8"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eastAsia="zh-CN"/>
              </w:rPr>
              <w:t>区住建局</w:t>
            </w:r>
          </w:p>
        </w:tc>
        <w:tc>
          <w:tcPr>
            <w:tcW w:w="200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涉及危险性较大分部分项工程，但尚未超过规定规模的</w:t>
            </w:r>
          </w:p>
        </w:tc>
        <w:tc>
          <w:tcPr>
            <w:tcW w:w="6301"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危险性较大的分部分项工程安全管理规定》第三十六条：监理单位有下列行为之一的，依照《中华人民共和国安全生产法》《建设工程安全生产管理条例》对单位进行处罚；对直接负责的主管人员和其他直接责任人员处1000元以上5000元以下的罚款：（一）总监理工程师未按照本规定审查危大工程专项施工方案的；（二）发现施工单位未按照专项施工方案实施，未要求其整改或者停工的；（三）施工单位拒不整改或者不停止施工时，未向建设单位和工程所在地住房城乡建设主管部门报告的。</w:t>
            </w:r>
          </w:p>
        </w:tc>
        <w:tc>
          <w:tcPr>
            <w:tcW w:w="952" w:type="dxa"/>
            <w:tcBorders>
              <w:top w:val="nil"/>
              <w:left w:val="nil"/>
              <w:bottom w:val="single" w:color="000000" w:sz="8" w:space="0"/>
              <w:right w:val="single" w:color="000000" w:sz="12" w:space="0"/>
            </w:tcBorders>
            <w:shd w:val="clear" w:color="auto" w:fill="auto"/>
            <w:tcMar>
              <w:top w:w="15" w:type="dxa"/>
              <w:left w:w="15" w:type="dxa"/>
              <w:bottom w:w="15" w:type="dxa"/>
              <w:right w:w="15" w:type="dxa"/>
            </w:tcMar>
            <w:vAlign w:val="center"/>
          </w:tcPr>
          <w:p>
            <w:pPr>
              <w:widowControl/>
              <w:jc w:val="center"/>
              <w:rPr>
                <w:rFonts w:hint="eastAsia" w:asciiTheme="minorEastAsia" w:hAnsiTheme="minorEastAsia" w:eastAsiaTheme="minorEastAsia" w:cstheme="minorEastAsia"/>
                <w:kern w:val="0"/>
                <w:sz w:val="21"/>
                <w:szCs w:val="21"/>
              </w:rPr>
            </w:pPr>
          </w:p>
        </w:tc>
      </w:tr>
      <w:tr>
        <w:tblPrEx>
          <w:tblCellMar>
            <w:top w:w="0" w:type="dxa"/>
            <w:left w:w="0" w:type="dxa"/>
            <w:bottom w:w="0" w:type="dxa"/>
            <w:right w:w="0" w:type="dxa"/>
          </w:tblCellMar>
        </w:tblPrEx>
        <w:trPr>
          <w:trHeight w:val="567" w:hRule="atLeast"/>
          <w:jc w:val="center"/>
        </w:trPr>
        <w:tc>
          <w:tcPr>
            <w:tcW w:w="1168" w:type="dxa"/>
            <w:tcBorders>
              <w:top w:val="nil"/>
              <w:left w:val="single" w:color="000000" w:sz="12" w:space="0"/>
              <w:bottom w:val="single" w:color="000000" w:sz="8" w:space="0"/>
              <w:right w:val="single" w:color="000000" w:sz="8" w:space="0"/>
            </w:tcBorders>
            <w:shd w:val="clear" w:color="auto" w:fill="auto"/>
            <w:tcMar>
              <w:top w:w="15" w:type="dxa"/>
              <w:left w:w="15" w:type="dxa"/>
              <w:bottom w:w="15" w:type="dxa"/>
              <w:right w:w="15" w:type="dxa"/>
            </w:tcMar>
            <w:vAlign w:val="center"/>
          </w:tcPr>
          <w:p>
            <w:pPr>
              <w:numPr>
                <w:ilvl w:val="0"/>
                <w:numId w:val="1"/>
              </w:numPr>
              <w:ind w:left="0" w:leftChars="0" w:firstLine="0" w:firstLineChars="0"/>
              <w:jc w:val="center"/>
              <w:rPr>
                <w:rFonts w:hint="eastAsia" w:ascii="宋体" w:hAnsi="宋体" w:eastAsia="宋体" w:cs="宋体"/>
                <w:lang w:val="en-US" w:eastAsia="zh-CN"/>
              </w:rPr>
            </w:pPr>
          </w:p>
        </w:tc>
        <w:tc>
          <w:tcPr>
            <w:tcW w:w="2881" w:type="dxa"/>
            <w:gridSpan w:val="3"/>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发现施工单位未按照专项施工方案实施，未要求其整改或者停工</w:t>
            </w:r>
          </w:p>
        </w:tc>
        <w:tc>
          <w:tcPr>
            <w:tcW w:w="1104" w:type="dxa"/>
            <w:gridSpan w:val="2"/>
            <w:tcBorders>
              <w:top w:val="nil"/>
              <w:left w:val="nil"/>
              <w:bottom w:val="single" w:color="000000" w:sz="8" w:space="0"/>
              <w:right w:val="single" w:color="auto" w:sz="8"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eastAsia="zh-CN"/>
              </w:rPr>
              <w:t>区住建局</w:t>
            </w:r>
          </w:p>
        </w:tc>
        <w:tc>
          <w:tcPr>
            <w:tcW w:w="200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涉及危险性较大分部分项工程，但尚未超过规定规模的</w:t>
            </w:r>
          </w:p>
        </w:tc>
        <w:tc>
          <w:tcPr>
            <w:tcW w:w="6301"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危险性较大的分部分项工程安全管理规定》第三十六条：监理单位有下列行为之一的，依照《中华人民共和国安全生产法》《建设工程安全生产管理条例》对单位进行处罚；对直接负责的主管人员和其他直接责任人员处1000元以上5000元以下的罚款：（一）总监理工程师未按照本规定审查危大工程专项施工方案的；（二）发现施工单位未按照专项施工方案实施，未要求其整改或者停工的；（三）施工单位拒不整改或者不停止施工时，未向建设单位和工程所在地住房城乡建设主管部门报告的。</w:t>
            </w:r>
          </w:p>
        </w:tc>
        <w:tc>
          <w:tcPr>
            <w:tcW w:w="952" w:type="dxa"/>
            <w:tcBorders>
              <w:top w:val="nil"/>
              <w:left w:val="nil"/>
              <w:bottom w:val="single" w:color="000000" w:sz="8" w:space="0"/>
              <w:right w:val="single" w:color="000000" w:sz="12" w:space="0"/>
            </w:tcBorders>
            <w:shd w:val="clear" w:color="auto" w:fill="auto"/>
            <w:tcMar>
              <w:top w:w="15" w:type="dxa"/>
              <w:left w:w="15" w:type="dxa"/>
              <w:bottom w:w="15" w:type="dxa"/>
              <w:right w:w="15" w:type="dxa"/>
            </w:tcMar>
            <w:vAlign w:val="center"/>
          </w:tcPr>
          <w:p>
            <w:pPr>
              <w:widowControl/>
              <w:jc w:val="center"/>
              <w:rPr>
                <w:rFonts w:hint="eastAsia" w:asciiTheme="minorEastAsia" w:hAnsiTheme="minorEastAsia" w:eastAsiaTheme="minorEastAsia" w:cstheme="minorEastAsia"/>
                <w:kern w:val="0"/>
                <w:sz w:val="21"/>
                <w:szCs w:val="21"/>
              </w:rPr>
            </w:pPr>
          </w:p>
        </w:tc>
      </w:tr>
      <w:tr>
        <w:tblPrEx>
          <w:tblCellMar>
            <w:top w:w="0" w:type="dxa"/>
            <w:left w:w="0" w:type="dxa"/>
            <w:bottom w:w="0" w:type="dxa"/>
            <w:right w:w="0" w:type="dxa"/>
          </w:tblCellMar>
        </w:tblPrEx>
        <w:trPr>
          <w:trHeight w:val="567" w:hRule="atLeast"/>
          <w:jc w:val="center"/>
        </w:trPr>
        <w:tc>
          <w:tcPr>
            <w:tcW w:w="1168" w:type="dxa"/>
            <w:tcBorders>
              <w:top w:val="nil"/>
              <w:left w:val="single" w:color="000000" w:sz="12" w:space="0"/>
              <w:bottom w:val="single" w:color="000000" w:sz="8" w:space="0"/>
              <w:right w:val="single" w:color="000000" w:sz="8" w:space="0"/>
            </w:tcBorders>
            <w:shd w:val="clear" w:color="auto" w:fill="auto"/>
            <w:tcMar>
              <w:top w:w="15" w:type="dxa"/>
              <w:left w:w="15" w:type="dxa"/>
              <w:bottom w:w="15" w:type="dxa"/>
              <w:right w:w="15" w:type="dxa"/>
            </w:tcMar>
            <w:vAlign w:val="center"/>
          </w:tcPr>
          <w:p>
            <w:pPr>
              <w:numPr>
                <w:ilvl w:val="0"/>
                <w:numId w:val="1"/>
              </w:numPr>
              <w:ind w:left="0" w:leftChars="0" w:firstLine="0" w:firstLineChars="0"/>
              <w:jc w:val="center"/>
              <w:rPr>
                <w:rFonts w:hint="eastAsia" w:ascii="宋体" w:hAnsi="宋体" w:eastAsia="宋体" w:cs="宋体"/>
                <w:lang w:val="en-US" w:eastAsia="zh-CN"/>
              </w:rPr>
            </w:pPr>
          </w:p>
        </w:tc>
        <w:tc>
          <w:tcPr>
            <w:tcW w:w="2881" w:type="dxa"/>
            <w:gridSpan w:val="3"/>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施工单位拒不整改或者不停止施工时，未向建设单位和工程所在地住房城乡建设主管部门报告</w:t>
            </w:r>
          </w:p>
        </w:tc>
        <w:tc>
          <w:tcPr>
            <w:tcW w:w="1104" w:type="dxa"/>
            <w:gridSpan w:val="2"/>
            <w:tcBorders>
              <w:top w:val="nil"/>
              <w:left w:val="nil"/>
              <w:bottom w:val="single" w:color="000000" w:sz="8" w:space="0"/>
              <w:right w:val="single" w:color="auto" w:sz="8"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eastAsia="zh-CN"/>
              </w:rPr>
              <w:t>区住建局</w:t>
            </w:r>
          </w:p>
        </w:tc>
        <w:tc>
          <w:tcPr>
            <w:tcW w:w="200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涉及危险性较大分部分项工程，但尚未超过规定规模的</w:t>
            </w:r>
          </w:p>
        </w:tc>
        <w:tc>
          <w:tcPr>
            <w:tcW w:w="6301"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危险性较大的分部分项工程安全管理规定》第三十六条：监理单位有下列行为之一的，依照《中华人民共和国安全生产法》《建设工程安全生产管理条例》对单位进行处罚；对直接负责的主管人员和其他直接责任人员处1000元以上5000元以下的罚款：（一）总监理工程师未按照本规定审查危大工程专项施工方案的；（二）发现施工单位未按照专项施工方案实施，未要求其整改或者停工的；（三）施工单位拒不整改或者不停止施工时，未向建设单位和工程所在地住房城乡建设主管部门报告的。</w:t>
            </w:r>
          </w:p>
        </w:tc>
        <w:tc>
          <w:tcPr>
            <w:tcW w:w="952" w:type="dxa"/>
            <w:tcBorders>
              <w:top w:val="nil"/>
              <w:left w:val="nil"/>
              <w:bottom w:val="single" w:color="000000" w:sz="8" w:space="0"/>
              <w:right w:val="single" w:color="000000" w:sz="12" w:space="0"/>
            </w:tcBorders>
            <w:shd w:val="clear" w:color="auto" w:fill="auto"/>
            <w:tcMar>
              <w:top w:w="15" w:type="dxa"/>
              <w:left w:w="15" w:type="dxa"/>
              <w:bottom w:w="15" w:type="dxa"/>
              <w:right w:w="15" w:type="dxa"/>
            </w:tcMar>
            <w:vAlign w:val="center"/>
          </w:tcPr>
          <w:p>
            <w:pPr>
              <w:widowControl/>
              <w:jc w:val="center"/>
              <w:rPr>
                <w:rFonts w:hint="eastAsia" w:asciiTheme="minorEastAsia" w:hAnsiTheme="minorEastAsia" w:eastAsiaTheme="minorEastAsia" w:cstheme="minorEastAsia"/>
                <w:kern w:val="0"/>
                <w:sz w:val="21"/>
                <w:szCs w:val="21"/>
              </w:rPr>
            </w:pPr>
          </w:p>
        </w:tc>
      </w:tr>
      <w:tr>
        <w:tblPrEx>
          <w:tblCellMar>
            <w:top w:w="0" w:type="dxa"/>
            <w:left w:w="0" w:type="dxa"/>
            <w:bottom w:w="0" w:type="dxa"/>
            <w:right w:w="0" w:type="dxa"/>
          </w:tblCellMar>
        </w:tblPrEx>
        <w:trPr>
          <w:trHeight w:val="567" w:hRule="atLeast"/>
          <w:jc w:val="center"/>
        </w:trPr>
        <w:tc>
          <w:tcPr>
            <w:tcW w:w="1168" w:type="dxa"/>
            <w:tcBorders>
              <w:top w:val="nil"/>
              <w:left w:val="single" w:color="000000" w:sz="12" w:space="0"/>
              <w:bottom w:val="single" w:color="000000" w:sz="8" w:space="0"/>
              <w:right w:val="single" w:color="000000" w:sz="8" w:space="0"/>
            </w:tcBorders>
            <w:shd w:val="clear" w:color="auto" w:fill="auto"/>
            <w:tcMar>
              <w:top w:w="15" w:type="dxa"/>
              <w:left w:w="15" w:type="dxa"/>
              <w:bottom w:w="15" w:type="dxa"/>
              <w:right w:w="15" w:type="dxa"/>
            </w:tcMar>
            <w:vAlign w:val="center"/>
          </w:tcPr>
          <w:p>
            <w:pPr>
              <w:numPr>
                <w:ilvl w:val="0"/>
                <w:numId w:val="1"/>
              </w:numPr>
              <w:ind w:left="0" w:leftChars="0" w:firstLine="0" w:firstLineChars="0"/>
              <w:jc w:val="center"/>
              <w:rPr>
                <w:rFonts w:hint="eastAsia" w:ascii="宋体" w:hAnsi="宋体" w:eastAsia="宋体" w:cs="宋体"/>
                <w:lang w:val="en-US" w:eastAsia="zh-CN"/>
              </w:rPr>
            </w:pPr>
          </w:p>
        </w:tc>
        <w:tc>
          <w:tcPr>
            <w:tcW w:w="2881" w:type="dxa"/>
            <w:gridSpan w:val="3"/>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未按照本规定编制监理实施细则</w:t>
            </w:r>
          </w:p>
        </w:tc>
        <w:tc>
          <w:tcPr>
            <w:tcW w:w="1104" w:type="dxa"/>
            <w:gridSpan w:val="2"/>
            <w:tcBorders>
              <w:top w:val="nil"/>
              <w:left w:val="nil"/>
              <w:bottom w:val="single" w:color="000000" w:sz="8" w:space="0"/>
              <w:right w:val="single" w:color="auto" w:sz="8"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eastAsia="zh-CN"/>
              </w:rPr>
              <w:t>区住建局</w:t>
            </w:r>
          </w:p>
        </w:tc>
        <w:tc>
          <w:tcPr>
            <w:tcW w:w="200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未造成危害后果或造成轻微危害后果的</w:t>
            </w:r>
          </w:p>
        </w:tc>
        <w:tc>
          <w:tcPr>
            <w:tcW w:w="6301"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危险性较大的分部分项工程安全管理规定》第三十七条：监理单位有下列行为之一的，责令限期改正，并处1万元以上3万元以下的罚款；对直接负责的主管人员和其他直接责任人员处1000元以上5000元以下的罚款：（一）未按照本规定编制监理实施细则的；（二）未对危大工程施工实施专项巡视检查的；（三）未按照本规定参与组织危大工程验收的；（四）未按照本规定建立危大工程安全管理档案的。</w:t>
            </w:r>
          </w:p>
        </w:tc>
        <w:tc>
          <w:tcPr>
            <w:tcW w:w="952" w:type="dxa"/>
            <w:tcBorders>
              <w:top w:val="nil"/>
              <w:left w:val="nil"/>
              <w:bottom w:val="single" w:color="000000" w:sz="8" w:space="0"/>
              <w:right w:val="single" w:color="000000" w:sz="12" w:space="0"/>
            </w:tcBorders>
            <w:shd w:val="clear" w:color="auto" w:fill="auto"/>
            <w:tcMar>
              <w:top w:w="15" w:type="dxa"/>
              <w:left w:w="15" w:type="dxa"/>
              <w:bottom w:w="15" w:type="dxa"/>
              <w:right w:w="15" w:type="dxa"/>
            </w:tcMar>
            <w:vAlign w:val="center"/>
          </w:tcPr>
          <w:p>
            <w:pPr>
              <w:widowControl/>
              <w:jc w:val="center"/>
              <w:rPr>
                <w:rFonts w:hint="eastAsia" w:asciiTheme="minorEastAsia" w:hAnsiTheme="minorEastAsia" w:eastAsiaTheme="minorEastAsia" w:cstheme="minorEastAsia"/>
                <w:kern w:val="0"/>
                <w:sz w:val="21"/>
                <w:szCs w:val="21"/>
              </w:rPr>
            </w:pPr>
          </w:p>
        </w:tc>
      </w:tr>
      <w:tr>
        <w:tblPrEx>
          <w:tblCellMar>
            <w:top w:w="0" w:type="dxa"/>
            <w:left w:w="0" w:type="dxa"/>
            <w:bottom w:w="0" w:type="dxa"/>
            <w:right w:w="0" w:type="dxa"/>
          </w:tblCellMar>
        </w:tblPrEx>
        <w:trPr>
          <w:trHeight w:val="567" w:hRule="atLeast"/>
          <w:jc w:val="center"/>
        </w:trPr>
        <w:tc>
          <w:tcPr>
            <w:tcW w:w="1168" w:type="dxa"/>
            <w:tcBorders>
              <w:top w:val="nil"/>
              <w:left w:val="single" w:color="000000" w:sz="12" w:space="0"/>
              <w:bottom w:val="single" w:color="000000" w:sz="8" w:space="0"/>
              <w:right w:val="single" w:color="000000" w:sz="8" w:space="0"/>
            </w:tcBorders>
            <w:shd w:val="clear" w:color="auto" w:fill="auto"/>
            <w:tcMar>
              <w:top w:w="15" w:type="dxa"/>
              <w:left w:w="15" w:type="dxa"/>
              <w:bottom w:w="15" w:type="dxa"/>
              <w:right w:w="15" w:type="dxa"/>
            </w:tcMar>
            <w:vAlign w:val="center"/>
          </w:tcPr>
          <w:p>
            <w:pPr>
              <w:numPr>
                <w:ilvl w:val="0"/>
                <w:numId w:val="1"/>
              </w:numPr>
              <w:ind w:left="0" w:leftChars="0" w:firstLine="0" w:firstLineChars="0"/>
              <w:jc w:val="center"/>
              <w:rPr>
                <w:rFonts w:hint="eastAsia" w:ascii="宋体" w:hAnsi="宋体" w:eastAsia="宋体" w:cs="宋体"/>
                <w:lang w:val="en-US" w:eastAsia="zh-CN"/>
              </w:rPr>
            </w:pPr>
          </w:p>
        </w:tc>
        <w:tc>
          <w:tcPr>
            <w:tcW w:w="2881" w:type="dxa"/>
            <w:gridSpan w:val="3"/>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未对危大工程施工实施专项巡视检查</w:t>
            </w:r>
          </w:p>
        </w:tc>
        <w:tc>
          <w:tcPr>
            <w:tcW w:w="1104" w:type="dxa"/>
            <w:gridSpan w:val="2"/>
            <w:tcBorders>
              <w:top w:val="nil"/>
              <w:left w:val="nil"/>
              <w:bottom w:val="single" w:color="000000" w:sz="8" w:space="0"/>
              <w:right w:val="single" w:color="auto" w:sz="8"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eastAsia="zh-CN"/>
              </w:rPr>
              <w:t>区住建局</w:t>
            </w:r>
          </w:p>
        </w:tc>
        <w:tc>
          <w:tcPr>
            <w:tcW w:w="200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未造成危害后果或造成轻微危害后果的</w:t>
            </w:r>
          </w:p>
        </w:tc>
        <w:tc>
          <w:tcPr>
            <w:tcW w:w="6301"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危险性较大的分部分项工程安全管理规定》第三十七条：监理单位有下列行为之一的，责令限期改正，并处1万元以上3万元以下的罚款；对直接负责的主管人员和其他直接责任人员处1000元以上5000元以下的罚款：（一）未按照本规定编制监理实施细则的；（二）未对危大工程施工实施专项巡视检查的；（三）未按照本规定参与组织危大工程验收的；（四）未按照本规定建立危大工程安全管理档案的。</w:t>
            </w:r>
          </w:p>
        </w:tc>
        <w:tc>
          <w:tcPr>
            <w:tcW w:w="952" w:type="dxa"/>
            <w:tcBorders>
              <w:top w:val="nil"/>
              <w:left w:val="nil"/>
              <w:bottom w:val="single" w:color="000000" w:sz="8" w:space="0"/>
              <w:right w:val="single" w:color="000000" w:sz="12" w:space="0"/>
            </w:tcBorders>
            <w:shd w:val="clear" w:color="auto" w:fill="auto"/>
            <w:tcMar>
              <w:top w:w="15" w:type="dxa"/>
              <w:left w:w="15" w:type="dxa"/>
              <w:bottom w:w="15" w:type="dxa"/>
              <w:right w:w="15" w:type="dxa"/>
            </w:tcMar>
            <w:vAlign w:val="center"/>
          </w:tcPr>
          <w:p>
            <w:pPr>
              <w:widowControl/>
              <w:jc w:val="center"/>
              <w:rPr>
                <w:rFonts w:hint="eastAsia" w:asciiTheme="minorEastAsia" w:hAnsiTheme="minorEastAsia" w:eastAsiaTheme="minorEastAsia" w:cstheme="minorEastAsia"/>
                <w:kern w:val="0"/>
                <w:sz w:val="21"/>
                <w:szCs w:val="21"/>
              </w:rPr>
            </w:pPr>
          </w:p>
        </w:tc>
      </w:tr>
      <w:tr>
        <w:tblPrEx>
          <w:tblCellMar>
            <w:top w:w="0" w:type="dxa"/>
            <w:left w:w="0" w:type="dxa"/>
            <w:bottom w:w="0" w:type="dxa"/>
            <w:right w:w="0" w:type="dxa"/>
          </w:tblCellMar>
        </w:tblPrEx>
        <w:trPr>
          <w:trHeight w:val="567" w:hRule="atLeast"/>
          <w:jc w:val="center"/>
        </w:trPr>
        <w:tc>
          <w:tcPr>
            <w:tcW w:w="1168" w:type="dxa"/>
            <w:tcBorders>
              <w:top w:val="nil"/>
              <w:left w:val="single" w:color="000000" w:sz="12" w:space="0"/>
              <w:bottom w:val="single" w:color="000000" w:sz="8" w:space="0"/>
              <w:right w:val="single" w:color="000000" w:sz="8" w:space="0"/>
            </w:tcBorders>
            <w:shd w:val="clear" w:color="auto" w:fill="auto"/>
            <w:tcMar>
              <w:top w:w="15" w:type="dxa"/>
              <w:left w:w="15" w:type="dxa"/>
              <w:bottom w:w="15" w:type="dxa"/>
              <w:right w:w="15" w:type="dxa"/>
            </w:tcMar>
            <w:vAlign w:val="center"/>
          </w:tcPr>
          <w:p>
            <w:pPr>
              <w:numPr>
                <w:ilvl w:val="0"/>
                <w:numId w:val="1"/>
              </w:numPr>
              <w:ind w:left="0" w:leftChars="0" w:firstLine="0" w:firstLineChars="0"/>
              <w:jc w:val="center"/>
              <w:rPr>
                <w:rFonts w:hint="eastAsia" w:ascii="宋体" w:hAnsi="宋体" w:eastAsia="宋体" w:cs="宋体"/>
                <w:lang w:val="en-US" w:eastAsia="zh-CN"/>
              </w:rPr>
            </w:pPr>
          </w:p>
        </w:tc>
        <w:tc>
          <w:tcPr>
            <w:tcW w:w="2881" w:type="dxa"/>
            <w:gridSpan w:val="3"/>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未按照本规定参与组织危大工程验收</w:t>
            </w:r>
          </w:p>
        </w:tc>
        <w:tc>
          <w:tcPr>
            <w:tcW w:w="1104" w:type="dxa"/>
            <w:gridSpan w:val="2"/>
            <w:tcBorders>
              <w:top w:val="nil"/>
              <w:left w:val="nil"/>
              <w:bottom w:val="single" w:color="000000" w:sz="8" w:space="0"/>
              <w:right w:val="single" w:color="auto" w:sz="8"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eastAsia="zh-CN"/>
              </w:rPr>
              <w:t>区住建局</w:t>
            </w:r>
          </w:p>
        </w:tc>
        <w:tc>
          <w:tcPr>
            <w:tcW w:w="200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未造成危害后果或造成轻微危害后果的</w:t>
            </w:r>
          </w:p>
        </w:tc>
        <w:tc>
          <w:tcPr>
            <w:tcW w:w="6301"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危险性较大的分部分项工程安全管理规定》第三十七条：监理单位有下列行为之一的，责令限期改正，并处1万元以上3万元以下的罚款；对直接负责的主管人员和其他直接责任人员处1000元以上5000元以下的罚款：（一）未按照本规定编制监理实施细则的；（二）未对危大工程施工实施专项巡视检查的；（三）未按照本规定参与组织危大工程验收的（四）未按照本规定建立危大工程安全管理档案的。</w:t>
            </w:r>
          </w:p>
        </w:tc>
        <w:tc>
          <w:tcPr>
            <w:tcW w:w="952" w:type="dxa"/>
            <w:tcBorders>
              <w:top w:val="nil"/>
              <w:left w:val="nil"/>
              <w:bottom w:val="single" w:color="000000" w:sz="8" w:space="0"/>
              <w:right w:val="single" w:color="000000" w:sz="12" w:space="0"/>
            </w:tcBorders>
            <w:shd w:val="clear" w:color="auto" w:fill="auto"/>
            <w:tcMar>
              <w:top w:w="15" w:type="dxa"/>
              <w:left w:w="15" w:type="dxa"/>
              <w:bottom w:w="15" w:type="dxa"/>
              <w:right w:w="15" w:type="dxa"/>
            </w:tcMar>
            <w:vAlign w:val="center"/>
          </w:tcPr>
          <w:p>
            <w:pPr>
              <w:widowControl/>
              <w:jc w:val="center"/>
              <w:rPr>
                <w:rFonts w:hint="eastAsia" w:asciiTheme="minorEastAsia" w:hAnsiTheme="minorEastAsia" w:eastAsiaTheme="minorEastAsia" w:cstheme="minorEastAsia"/>
                <w:kern w:val="0"/>
                <w:sz w:val="21"/>
                <w:szCs w:val="21"/>
              </w:rPr>
            </w:pPr>
          </w:p>
        </w:tc>
      </w:tr>
      <w:tr>
        <w:tblPrEx>
          <w:tblCellMar>
            <w:top w:w="0" w:type="dxa"/>
            <w:left w:w="0" w:type="dxa"/>
            <w:bottom w:w="0" w:type="dxa"/>
            <w:right w:w="0" w:type="dxa"/>
          </w:tblCellMar>
        </w:tblPrEx>
        <w:trPr>
          <w:trHeight w:val="567" w:hRule="atLeast"/>
          <w:jc w:val="center"/>
        </w:trPr>
        <w:tc>
          <w:tcPr>
            <w:tcW w:w="1168" w:type="dxa"/>
            <w:tcBorders>
              <w:top w:val="nil"/>
              <w:left w:val="single" w:color="000000" w:sz="12" w:space="0"/>
              <w:bottom w:val="single" w:color="000000" w:sz="8" w:space="0"/>
              <w:right w:val="single" w:color="000000" w:sz="8" w:space="0"/>
            </w:tcBorders>
            <w:shd w:val="clear" w:color="auto" w:fill="auto"/>
            <w:tcMar>
              <w:top w:w="15" w:type="dxa"/>
              <w:left w:w="15" w:type="dxa"/>
              <w:bottom w:w="15" w:type="dxa"/>
              <w:right w:w="15" w:type="dxa"/>
            </w:tcMar>
            <w:vAlign w:val="center"/>
          </w:tcPr>
          <w:p>
            <w:pPr>
              <w:numPr>
                <w:ilvl w:val="0"/>
                <w:numId w:val="1"/>
              </w:numPr>
              <w:ind w:left="0" w:leftChars="0" w:firstLine="0" w:firstLineChars="0"/>
              <w:jc w:val="center"/>
              <w:rPr>
                <w:rFonts w:hint="eastAsia" w:ascii="宋体" w:hAnsi="宋体" w:eastAsia="宋体" w:cs="宋体"/>
                <w:lang w:val="en-US" w:eastAsia="zh-CN"/>
              </w:rPr>
            </w:pPr>
          </w:p>
        </w:tc>
        <w:tc>
          <w:tcPr>
            <w:tcW w:w="2881" w:type="dxa"/>
            <w:gridSpan w:val="3"/>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未按照本规定建立危大工程安全管理档案</w:t>
            </w:r>
          </w:p>
        </w:tc>
        <w:tc>
          <w:tcPr>
            <w:tcW w:w="1104" w:type="dxa"/>
            <w:gridSpan w:val="2"/>
            <w:tcBorders>
              <w:top w:val="nil"/>
              <w:left w:val="nil"/>
              <w:bottom w:val="single" w:color="000000" w:sz="8" w:space="0"/>
              <w:right w:val="single" w:color="auto" w:sz="8"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eastAsia="zh-CN"/>
              </w:rPr>
              <w:t>区住建局</w:t>
            </w:r>
          </w:p>
        </w:tc>
        <w:tc>
          <w:tcPr>
            <w:tcW w:w="200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未造成危害后果或造成轻微危害后果的</w:t>
            </w:r>
          </w:p>
        </w:tc>
        <w:tc>
          <w:tcPr>
            <w:tcW w:w="6301"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危险性较大的分部分项工程安全管理规定》第三十七条：监理单位有下列行为之一的，责令限期改正，并处1万元以上3万元以下的罚款；对直接负责的主管人员和其他直接责任人员处1000元以上5000元以下的罚款：（一）未按照本规定编制监理实施细则的；（二）未对危大工程施工实施专项巡视检查的；（三）未按照本规定参与组织危大工程验收的；</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（四）未按照本规定建立危大工程安全管理档案的。</w:t>
            </w:r>
          </w:p>
        </w:tc>
        <w:tc>
          <w:tcPr>
            <w:tcW w:w="952" w:type="dxa"/>
            <w:tcBorders>
              <w:top w:val="nil"/>
              <w:left w:val="nil"/>
              <w:bottom w:val="single" w:color="000000" w:sz="8" w:space="0"/>
              <w:right w:val="single" w:color="000000" w:sz="12" w:space="0"/>
            </w:tcBorders>
            <w:shd w:val="clear" w:color="auto" w:fill="auto"/>
            <w:tcMar>
              <w:top w:w="15" w:type="dxa"/>
              <w:left w:w="15" w:type="dxa"/>
              <w:bottom w:w="15" w:type="dxa"/>
              <w:right w:w="15" w:type="dxa"/>
            </w:tcMar>
            <w:vAlign w:val="center"/>
          </w:tcPr>
          <w:p>
            <w:pPr>
              <w:widowControl/>
              <w:jc w:val="center"/>
              <w:rPr>
                <w:rFonts w:hint="eastAsia" w:asciiTheme="minorEastAsia" w:hAnsiTheme="minorEastAsia" w:eastAsiaTheme="minorEastAsia" w:cstheme="minorEastAsia"/>
                <w:kern w:val="0"/>
                <w:sz w:val="21"/>
                <w:szCs w:val="21"/>
              </w:rPr>
            </w:pPr>
          </w:p>
        </w:tc>
      </w:tr>
      <w:tr>
        <w:tblPrEx>
          <w:tblCellMar>
            <w:top w:w="0" w:type="dxa"/>
            <w:left w:w="0" w:type="dxa"/>
            <w:bottom w:w="0" w:type="dxa"/>
            <w:right w:w="0" w:type="dxa"/>
          </w:tblCellMar>
        </w:tblPrEx>
        <w:trPr>
          <w:trHeight w:val="567" w:hRule="atLeast"/>
          <w:jc w:val="center"/>
        </w:trPr>
        <w:tc>
          <w:tcPr>
            <w:tcW w:w="1168" w:type="dxa"/>
            <w:tcBorders>
              <w:top w:val="nil"/>
              <w:left w:val="single" w:color="000000" w:sz="12" w:space="0"/>
              <w:bottom w:val="single" w:color="000000" w:sz="8" w:space="0"/>
              <w:right w:val="single" w:color="000000" w:sz="8" w:space="0"/>
            </w:tcBorders>
            <w:shd w:val="clear" w:color="auto" w:fill="auto"/>
            <w:tcMar>
              <w:top w:w="15" w:type="dxa"/>
              <w:left w:w="15" w:type="dxa"/>
              <w:bottom w:w="15" w:type="dxa"/>
              <w:right w:w="15" w:type="dxa"/>
            </w:tcMar>
            <w:vAlign w:val="center"/>
          </w:tcPr>
          <w:p>
            <w:pPr>
              <w:numPr>
                <w:ilvl w:val="0"/>
                <w:numId w:val="1"/>
              </w:numPr>
              <w:ind w:left="0" w:leftChars="0" w:firstLine="0" w:firstLineChars="0"/>
              <w:jc w:val="center"/>
              <w:rPr>
                <w:rFonts w:hint="eastAsia" w:ascii="宋体" w:hAnsi="宋体" w:eastAsia="宋体" w:cs="宋体"/>
                <w:lang w:val="en-US" w:eastAsia="zh-CN"/>
              </w:rPr>
            </w:pPr>
          </w:p>
        </w:tc>
        <w:tc>
          <w:tcPr>
            <w:tcW w:w="2881" w:type="dxa"/>
            <w:gridSpan w:val="3"/>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未取得相应勘察资质从事第三方监测</w:t>
            </w:r>
          </w:p>
        </w:tc>
        <w:tc>
          <w:tcPr>
            <w:tcW w:w="1104" w:type="dxa"/>
            <w:gridSpan w:val="2"/>
            <w:tcBorders>
              <w:top w:val="nil"/>
              <w:left w:val="nil"/>
              <w:bottom w:val="single" w:color="000000" w:sz="8" w:space="0"/>
              <w:right w:val="single" w:color="auto" w:sz="8"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eastAsia="zh-CN"/>
              </w:rPr>
              <w:t>区住建局</w:t>
            </w:r>
          </w:p>
        </w:tc>
        <w:tc>
          <w:tcPr>
            <w:tcW w:w="200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未造成危害后果或造成轻微危害后果的</w:t>
            </w:r>
          </w:p>
        </w:tc>
        <w:tc>
          <w:tcPr>
            <w:tcW w:w="6301"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危险性较大的分部分项工程安全管理规定》第三十八条：监测单位有下列行为之一的，责令限期改正，并处1万元以上3万元以下的罚款；对直接负责的主管人员和其他直接责任人员处1000元以上5000元以下的罚款：（一）未取得相应勘察资质从事第三方监测的；（二）未按照本规定编制监测方案的；（三）未按照监测方案开展监测的；（四）发现异常未及时报告的。</w:t>
            </w:r>
          </w:p>
        </w:tc>
        <w:tc>
          <w:tcPr>
            <w:tcW w:w="952" w:type="dxa"/>
            <w:tcBorders>
              <w:top w:val="nil"/>
              <w:left w:val="nil"/>
              <w:bottom w:val="single" w:color="000000" w:sz="8" w:space="0"/>
              <w:right w:val="single" w:color="000000" w:sz="12" w:space="0"/>
            </w:tcBorders>
            <w:shd w:val="clear" w:color="auto" w:fill="auto"/>
            <w:tcMar>
              <w:top w:w="15" w:type="dxa"/>
              <w:left w:w="15" w:type="dxa"/>
              <w:bottom w:w="15" w:type="dxa"/>
              <w:right w:w="15" w:type="dxa"/>
            </w:tcMar>
            <w:vAlign w:val="center"/>
          </w:tcPr>
          <w:p>
            <w:pPr>
              <w:widowControl/>
              <w:jc w:val="center"/>
              <w:rPr>
                <w:rFonts w:hint="eastAsia" w:asciiTheme="minorEastAsia" w:hAnsiTheme="minorEastAsia" w:eastAsiaTheme="minorEastAsia" w:cstheme="minorEastAsia"/>
                <w:kern w:val="0"/>
                <w:sz w:val="21"/>
                <w:szCs w:val="21"/>
              </w:rPr>
            </w:pPr>
          </w:p>
        </w:tc>
      </w:tr>
      <w:tr>
        <w:tblPrEx>
          <w:tblCellMar>
            <w:top w:w="0" w:type="dxa"/>
            <w:left w:w="0" w:type="dxa"/>
            <w:bottom w:w="0" w:type="dxa"/>
            <w:right w:w="0" w:type="dxa"/>
          </w:tblCellMar>
        </w:tblPrEx>
        <w:trPr>
          <w:trHeight w:val="567" w:hRule="atLeast"/>
          <w:jc w:val="center"/>
        </w:trPr>
        <w:tc>
          <w:tcPr>
            <w:tcW w:w="1168" w:type="dxa"/>
            <w:tcBorders>
              <w:top w:val="nil"/>
              <w:left w:val="single" w:color="000000" w:sz="12" w:space="0"/>
              <w:bottom w:val="single" w:color="000000" w:sz="8" w:space="0"/>
              <w:right w:val="single" w:color="000000" w:sz="8" w:space="0"/>
            </w:tcBorders>
            <w:shd w:val="clear" w:color="auto" w:fill="auto"/>
            <w:tcMar>
              <w:top w:w="15" w:type="dxa"/>
              <w:left w:w="15" w:type="dxa"/>
              <w:bottom w:w="15" w:type="dxa"/>
              <w:right w:w="15" w:type="dxa"/>
            </w:tcMar>
            <w:vAlign w:val="center"/>
          </w:tcPr>
          <w:p>
            <w:pPr>
              <w:numPr>
                <w:ilvl w:val="0"/>
                <w:numId w:val="1"/>
              </w:numPr>
              <w:ind w:left="0" w:leftChars="0" w:firstLine="0" w:firstLineChars="0"/>
              <w:jc w:val="center"/>
              <w:rPr>
                <w:rFonts w:hint="eastAsia" w:ascii="宋体" w:hAnsi="宋体" w:eastAsia="宋体" w:cs="宋体"/>
                <w:lang w:val="en-US" w:eastAsia="zh-CN"/>
              </w:rPr>
            </w:pPr>
          </w:p>
        </w:tc>
        <w:tc>
          <w:tcPr>
            <w:tcW w:w="2881" w:type="dxa"/>
            <w:gridSpan w:val="3"/>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未按照本规定编制监测方案</w:t>
            </w:r>
          </w:p>
        </w:tc>
        <w:tc>
          <w:tcPr>
            <w:tcW w:w="1104" w:type="dxa"/>
            <w:gridSpan w:val="2"/>
            <w:tcBorders>
              <w:top w:val="nil"/>
              <w:left w:val="nil"/>
              <w:bottom w:val="single" w:color="000000" w:sz="8" w:space="0"/>
              <w:right w:val="single" w:color="auto" w:sz="8"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eastAsia="zh-CN"/>
              </w:rPr>
              <w:t>区住建局</w:t>
            </w:r>
          </w:p>
        </w:tc>
        <w:tc>
          <w:tcPr>
            <w:tcW w:w="200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未造成危害后果或造成轻微危害后果的</w:t>
            </w:r>
          </w:p>
        </w:tc>
        <w:tc>
          <w:tcPr>
            <w:tcW w:w="6301"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危险性较大的分部分项工程安全管理规定》第三十八条：监测单位有下列行为之一的，责令限期改正，并处1万元以上3万元以下的罚款；对直接负责的主管人员和其他直接责任人员处1000元以上5000元以下的罚款：（一）未取得相应勘察资质从事第三方监测的；（二）未按照本规定编制监测方案的；（三）未按照监测方案开展监测的；（四）发现异常未及时报告的。</w:t>
            </w:r>
          </w:p>
        </w:tc>
        <w:tc>
          <w:tcPr>
            <w:tcW w:w="952" w:type="dxa"/>
            <w:tcBorders>
              <w:top w:val="nil"/>
              <w:left w:val="nil"/>
              <w:bottom w:val="single" w:color="000000" w:sz="8" w:space="0"/>
              <w:right w:val="single" w:color="000000" w:sz="12" w:space="0"/>
            </w:tcBorders>
            <w:shd w:val="clear" w:color="auto" w:fill="auto"/>
            <w:tcMar>
              <w:top w:w="15" w:type="dxa"/>
              <w:left w:w="15" w:type="dxa"/>
              <w:bottom w:w="15" w:type="dxa"/>
              <w:right w:w="15" w:type="dxa"/>
            </w:tcMar>
            <w:vAlign w:val="center"/>
          </w:tcPr>
          <w:p>
            <w:pPr>
              <w:widowControl/>
              <w:jc w:val="center"/>
              <w:rPr>
                <w:rFonts w:hint="eastAsia" w:asciiTheme="minorEastAsia" w:hAnsiTheme="minorEastAsia" w:eastAsiaTheme="minorEastAsia" w:cstheme="minorEastAsia"/>
                <w:kern w:val="0"/>
                <w:sz w:val="21"/>
                <w:szCs w:val="21"/>
              </w:rPr>
            </w:pPr>
          </w:p>
        </w:tc>
      </w:tr>
      <w:tr>
        <w:tblPrEx>
          <w:tblCellMar>
            <w:top w:w="0" w:type="dxa"/>
            <w:left w:w="0" w:type="dxa"/>
            <w:bottom w:w="0" w:type="dxa"/>
            <w:right w:w="0" w:type="dxa"/>
          </w:tblCellMar>
        </w:tblPrEx>
        <w:trPr>
          <w:trHeight w:val="567" w:hRule="atLeast"/>
          <w:jc w:val="center"/>
        </w:trPr>
        <w:tc>
          <w:tcPr>
            <w:tcW w:w="1168" w:type="dxa"/>
            <w:tcBorders>
              <w:top w:val="nil"/>
              <w:left w:val="single" w:color="000000" w:sz="12" w:space="0"/>
              <w:bottom w:val="single" w:color="000000" w:sz="8" w:space="0"/>
              <w:right w:val="single" w:color="000000" w:sz="8" w:space="0"/>
            </w:tcBorders>
            <w:shd w:val="clear" w:color="auto" w:fill="auto"/>
            <w:tcMar>
              <w:top w:w="15" w:type="dxa"/>
              <w:left w:w="15" w:type="dxa"/>
              <w:bottom w:w="15" w:type="dxa"/>
              <w:right w:w="15" w:type="dxa"/>
            </w:tcMar>
            <w:vAlign w:val="center"/>
          </w:tcPr>
          <w:p>
            <w:pPr>
              <w:numPr>
                <w:ilvl w:val="0"/>
                <w:numId w:val="1"/>
              </w:numPr>
              <w:ind w:left="0" w:leftChars="0" w:firstLine="0" w:firstLineChars="0"/>
              <w:jc w:val="center"/>
              <w:rPr>
                <w:rFonts w:hint="eastAsia" w:ascii="宋体" w:hAnsi="宋体" w:eastAsia="宋体" w:cs="宋体"/>
                <w:lang w:val="en-US" w:eastAsia="zh-CN"/>
              </w:rPr>
            </w:pPr>
          </w:p>
        </w:tc>
        <w:tc>
          <w:tcPr>
            <w:tcW w:w="2881" w:type="dxa"/>
            <w:gridSpan w:val="3"/>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未按照监测方案开展监测</w:t>
            </w:r>
          </w:p>
        </w:tc>
        <w:tc>
          <w:tcPr>
            <w:tcW w:w="1104" w:type="dxa"/>
            <w:gridSpan w:val="2"/>
            <w:tcBorders>
              <w:top w:val="nil"/>
              <w:left w:val="nil"/>
              <w:bottom w:val="single" w:color="000000" w:sz="8" w:space="0"/>
              <w:right w:val="single" w:color="auto" w:sz="8"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eastAsia="zh-CN"/>
              </w:rPr>
              <w:t>区住建局</w:t>
            </w:r>
          </w:p>
        </w:tc>
        <w:tc>
          <w:tcPr>
            <w:tcW w:w="200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未造成危害后果或造成轻微危害后果的</w:t>
            </w:r>
          </w:p>
        </w:tc>
        <w:tc>
          <w:tcPr>
            <w:tcW w:w="6301"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危险性较大的分部分项工程安全管理规定》第三十八条：监测单位有下列行为之一的，责令限期改正，并处1万元以上3万元以下的罚款；对直接负责的主管人员和其他直接责任人员处1000元以上5000元以下的罚款：（一）未取得相应勘察资质从事第三方监测的；（二）未按照本规定编制监测方案的；（三）未按照监测方案开展监测的；（四）发现异常未及时报告的。</w:t>
            </w:r>
          </w:p>
        </w:tc>
        <w:tc>
          <w:tcPr>
            <w:tcW w:w="952" w:type="dxa"/>
            <w:tcBorders>
              <w:top w:val="nil"/>
              <w:left w:val="nil"/>
              <w:bottom w:val="single" w:color="000000" w:sz="8" w:space="0"/>
              <w:right w:val="single" w:color="000000" w:sz="12" w:space="0"/>
            </w:tcBorders>
            <w:shd w:val="clear" w:color="auto" w:fill="auto"/>
            <w:tcMar>
              <w:top w:w="15" w:type="dxa"/>
              <w:left w:w="15" w:type="dxa"/>
              <w:bottom w:w="15" w:type="dxa"/>
              <w:right w:w="15" w:type="dxa"/>
            </w:tcMar>
            <w:vAlign w:val="center"/>
          </w:tcPr>
          <w:p>
            <w:pPr>
              <w:widowControl/>
              <w:jc w:val="center"/>
              <w:rPr>
                <w:rFonts w:hint="eastAsia" w:asciiTheme="minorEastAsia" w:hAnsiTheme="minorEastAsia" w:eastAsiaTheme="minorEastAsia" w:cstheme="minorEastAsia"/>
                <w:kern w:val="0"/>
                <w:sz w:val="21"/>
                <w:szCs w:val="21"/>
              </w:rPr>
            </w:pPr>
          </w:p>
        </w:tc>
      </w:tr>
      <w:tr>
        <w:tblPrEx>
          <w:tblCellMar>
            <w:top w:w="0" w:type="dxa"/>
            <w:left w:w="0" w:type="dxa"/>
            <w:bottom w:w="0" w:type="dxa"/>
            <w:right w:w="0" w:type="dxa"/>
          </w:tblCellMar>
        </w:tblPrEx>
        <w:trPr>
          <w:trHeight w:val="567" w:hRule="atLeast"/>
          <w:jc w:val="center"/>
        </w:trPr>
        <w:tc>
          <w:tcPr>
            <w:tcW w:w="1168" w:type="dxa"/>
            <w:tcBorders>
              <w:top w:val="nil"/>
              <w:left w:val="single" w:color="000000" w:sz="12" w:space="0"/>
              <w:bottom w:val="single" w:color="000000" w:sz="8" w:space="0"/>
              <w:right w:val="single" w:color="000000" w:sz="8" w:space="0"/>
            </w:tcBorders>
            <w:shd w:val="clear" w:color="auto" w:fill="auto"/>
            <w:tcMar>
              <w:top w:w="15" w:type="dxa"/>
              <w:left w:w="15" w:type="dxa"/>
              <w:bottom w:w="15" w:type="dxa"/>
              <w:right w:w="15" w:type="dxa"/>
            </w:tcMar>
            <w:vAlign w:val="center"/>
          </w:tcPr>
          <w:p>
            <w:pPr>
              <w:numPr>
                <w:ilvl w:val="0"/>
                <w:numId w:val="1"/>
              </w:numPr>
              <w:ind w:left="0" w:leftChars="0" w:firstLine="0" w:firstLineChars="0"/>
              <w:jc w:val="center"/>
              <w:rPr>
                <w:rFonts w:hint="eastAsia" w:ascii="宋体" w:hAnsi="宋体" w:eastAsia="宋体" w:cs="宋体"/>
                <w:lang w:val="en-US" w:eastAsia="zh-CN"/>
              </w:rPr>
            </w:pPr>
          </w:p>
        </w:tc>
        <w:tc>
          <w:tcPr>
            <w:tcW w:w="2881" w:type="dxa"/>
            <w:gridSpan w:val="3"/>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发现异常未及时报告</w:t>
            </w:r>
          </w:p>
        </w:tc>
        <w:tc>
          <w:tcPr>
            <w:tcW w:w="1104" w:type="dxa"/>
            <w:gridSpan w:val="2"/>
            <w:tcBorders>
              <w:top w:val="nil"/>
              <w:left w:val="nil"/>
              <w:bottom w:val="single" w:color="000000" w:sz="8" w:space="0"/>
              <w:right w:val="single" w:color="auto" w:sz="8"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eastAsia="zh-CN"/>
              </w:rPr>
              <w:t>区住建局</w:t>
            </w:r>
          </w:p>
        </w:tc>
        <w:tc>
          <w:tcPr>
            <w:tcW w:w="200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未造成危害后果或造成轻微危害后果的</w:t>
            </w:r>
          </w:p>
        </w:tc>
        <w:tc>
          <w:tcPr>
            <w:tcW w:w="6301"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危险性较大的分部分项工程安全管理规定》第三十八条：监测单位有下列行为之一的，责令限期改正，并处1万元以上3万元以下的罚款；对直接负责的主管人员和其他直接责任人员处1000元以上5000元以下的罚款：（一）未取得相应勘察资质从事第三方监测的；（二）未按照本规定编制监测方案的；（三）未按照监测方案开展监测的；（四）发现异常未及时报告的。</w:t>
            </w:r>
          </w:p>
        </w:tc>
        <w:tc>
          <w:tcPr>
            <w:tcW w:w="952" w:type="dxa"/>
            <w:tcBorders>
              <w:top w:val="nil"/>
              <w:left w:val="nil"/>
              <w:bottom w:val="single" w:color="000000" w:sz="8" w:space="0"/>
              <w:right w:val="single" w:color="000000" w:sz="12" w:space="0"/>
            </w:tcBorders>
            <w:shd w:val="clear" w:color="auto" w:fill="auto"/>
            <w:tcMar>
              <w:top w:w="15" w:type="dxa"/>
              <w:left w:w="15" w:type="dxa"/>
              <w:bottom w:w="15" w:type="dxa"/>
              <w:right w:w="15" w:type="dxa"/>
            </w:tcMar>
            <w:vAlign w:val="center"/>
          </w:tcPr>
          <w:p>
            <w:pPr>
              <w:widowControl/>
              <w:jc w:val="center"/>
              <w:rPr>
                <w:rFonts w:hint="eastAsia" w:asciiTheme="minorEastAsia" w:hAnsiTheme="minorEastAsia" w:eastAsiaTheme="minorEastAsia" w:cstheme="minorEastAsia"/>
                <w:kern w:val="0"/>
                <w:sz w:val="21"/>
                <w:szCs w:val="21"/>
              </w:rPr>
            </w:pPr>
          </w:p>
        </w:tc>
      </w:tr>
      <w:tr>
        <w:tblPrEx>
          <w:tblCellMar>
            <w:top w:w="0" w:type="dxa"/>
            <w:left w:w="0" w:type="dxa"/>
            <w:bottom w:w="0" w:type="dxa"/>
            <w:right w:w="0" w:type="dxa"/>
          </w:tblCellMar>
        </w:tblPrEx>
        <w:trPr>
          <w:trHeight w:val="567" w:hRule="atLeast"/>
          <w:jc w:val="center"/>
        </w:trPr>
        <w:tc>
          <w:tcPr>
            <w:tcW w:w="1168" w:type="dxa"/>
            <w:tcBorders>
              <w:top w:val="nil"/>
              <w:left w:val="single" w:color="000000" w:sz="12" w:space="0"/>
              <w:bottom w:val="single" w:color="000000" w:sz="8" w:space="0"/>
              <w:right w:val="single" w:color="000000" w:sz="8" w:space="0"/>
            </w:tcBorders>
            <w:shd w:val="clear" w:color="auto" w:fill="auto"/>
            <w:tcMar>
              <w:top w:w="15" w:type="dxa"/>
              <w:left w:w="15" w:type="dxa"/>
              <w:bottom w:w="15" w:type="dxa"/>
              <w:right w:w="15" w:type="dxa"/>
            </w:tcMar>
            <w:vAlign w:val="center"/>
          </w:tcPr>
          <w:p>
            <w:pPr>
              <w:numPr>
                <w:ilvl w:val="0"/>
                <w:numId w:val="1"/>
              </w:numPr>
              <w:ind w:left="0" w:leftChars="0" w:firstLine="0" w:firstLineChars="0"/>
              <w:jc w:val="center"/>
              <w:rPr>
                <w:rFonts w:hint="eastAsia" w:ascii="宋体" w:hAnsi="宋体" w:eastAsia="宋体" w:cs="宋体"/>
                <w:lang w:val="en-US" w:eastAsia="zh-CN"/>
              </w:rPr>
            </w:pPr>
          </w:p>
        </w:tc>
        <w:tc>
          <w:tcPr>
            <w:tcW w:w="2881" w:type="dxa"/>
            <w:gridSpan w:val="3"/>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未取得安全资格证书进行施工</w:t>
            </w:r>
          </w:p>
        </w:tc>
        <w:tc>
          <w:tcPr>
            <w:tcW w:w="1104" w:type="dxa"/>
            <w:gridSpan w:val="2"/>
            <w:tcBorders>
              <w:top w:val="nil"/>
              <w:left w:val="nil"/>
              <w:bottom w:val="single" w:color="000000" w:sz="8" w:space="0"/>
              <w:right w:val="single" w:color="auto" w:sz="8"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eastAsia="zh-CN"/>
              </w:rPr>
              <w:t>区住建局</w:t>
            </w:r>
          </w:p>
        </w:tc>
        <w:tc>
          <w:tcPr>
            <w:tcW w:w="200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危害后果轻微，主动消除或减轻违法行为后果</w:t>
            </w:r>
          </w:p>
        </w:tc>
        <w:tc>
          <w:tcPr>
            <w:tcW w:w="6301"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《湖北省建设工程安全生产管理办法》第三十八条：施工单位有下列情形之一的，由项目所在地建设行政主管部门责令改正，并处1万元以下罚款。（一）未取得安全资格证书进行施工的；　</w:t>
            </w:r>
          </w:p>
        </w:tc>
        <w:tc>
          <w:tcPr>
            <w:tcW w:w="952" w:type="dxa"/>
            <w:tcBorders>
              <w:top w:val="nil"/>
              <w:left w:val="nil"/>
              <w:bottom w:val="single" w:color="000000" w:sz="8" w:space="0"/>
              <w:right w:val="single" w:color="000000" w:sz="12" w:space="0"/>
            </w:tcBorders>
            <w:shd w:val="clear" w:color="auto" w:fill="auto"/>
            <w:tcMar>
              <w:top w:w="15" w:type="dxa"/>
              <w:left w:w="15" w:type="dxa"/>
              <w:bottom w:w="15" w:type="dxa"/>
              <w:right w:w="15" w:type="dxa"/>
            </w:tcMar>
            <w:vAlign w:val="center"/>
          </w:tcPr>
          <w:p>
            <w:pPr>
              <w:widowControl/>
              <w:jc w:val="center"/>
              <w:rPr>
                <w:rFonts w:hint="eastAsia" w:asciiTheme="minorEastAsia" w:hAnsiTheme="minorEastAsia" w:eastAsiaTheme="minorEastAsia" w:cstheme="minorEastAsia"/>
                <w:kern w:val="0"/>
                <w:sz w:val="21"/>
                <w:szCs w:val="21"/>
              </w:rPr>
            </w:pPr>
          </w:p>
        </w:tc>
      </w:tr>
      <w:tr>
        <w:tblPrEx>
          <w:tblCellMar>
            <w:top w:w="0" w:type="dxa"/>
            <w:left w:w="0" w:type="dxa"/>
            <w:bottom w:w="0" w:type="dxa"/>
            <w:right w:w="0" w:type="dxa"/>
          </w:tblCellMar>
        </w:tblPrEx>
        <w:trPr>
          <w:trHeight w:val="567" w:hRule="atLeast"/>
          <w:jc w:val="center"/>
        </w:trPr>
        <w:tc>
          <w:tcPr>
            <w:tcW w:w="1168" w:type="dxa"/>
            <w:tcBorders>
              <w:top w:val="nil"/>
              <w:left w:val="single" w:color="000000" w:sz="12" w:space="0"/>
              <w:bottom w:val="single" w:color="000000" w:sz="8" w:space="0"/>
              <w:right w:val="single" w:color="000000" w:sz="8" w:space="0"/>
            </w:tcBorders>
            <w:shd w:val="clear" w:color="auto" w:fill="auto"/>
            <w:tcMar>
              <w:top w:w="15" w:type="dxa"/>
              <w:left w:w="15" w:type="dxa"/>
              <w:bottom w:w="15" w:type="dxa"/>
              <w:right w:w="15" w:type="dxa"/>
            </w:tcMar>
            <w:vAlign w:val="center"/>
          </w:tcPr>
          <w:p>
            <w:pPr>
              <w:numPr>
                <w:ilvl w:val="0"/>
                <w:numId w:val="1"/>
              </w:numPr>
              <w:ind w:left="0" w:leftChars="0" w:firstLine="0" w:firstLineChars="0"/>
              <w:jc w:val="center"/>
              <w:rPr>
                <w:rFonts w:hint="eastAsia" w:ascii="宋体" w:hAnsi="宋体" w:eastAsia="宋体" w:cs="宋体"/>
                <w:lang w:val="en-US" w:eastAsia="zh-CN"/>
              </w:rPr>
            </w:pPr>
          </w:p>
        </w:tc>
        <w:tc>
          <w:tcPr>
            <w:tcW w:w="2881" w:type="dxa"/>
            <w:gridSpan w:val="3"/>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未按本办法规定办理人身意外伤害保险</w:t>
            </w:r>
          </w:p>
        </w:tc>
        <w:tc>
          <w:tcPr>
            <w:tcW w:w="1104" w:type="dxa"/>
            <w:gridSpan w:val="2"/>
            <w:tcBorders>
              <w:top w:val="nil"/>
              <w:left w:val="nil"/>
              <w:bottom w:val="single" w:color="000000" w:sz="8" w:space="0"/>
              <w:right w:val="single" w:color="auto" w:sz="8"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eastAsia="zh-CN"/>
              </w:rPr>
              <w:t>区住建局</w:t>
            </w:r>
          </w:p>
        </w:tc>
        <w:tc>
          <w:tcPr>
            <w:tcW w:w="200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危害后果轻微，主动消除或减轻违法行为后果</w:t>
            </w:r>
          </w:p>
        </w:tc>
        <w:tc>
          <w:tcPr>
            <w:tcW w:w="6301"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《湖北省建设工程安全生产管理办法》第三十八条：施工单位有下列情形之一的，由项目所在地建设行政主管部门责令改正，并处1万元以下罚款。（二）未按本办法规定办理人身意外伤害保险的；</w:t>
            </w:r>
          </w:p>
        </w:tc>
        <w:tc>
          <w:tcPr>
            <w:tcW w:w="952" w:type="dxa"/>
            <w:tcBorders>
              <w:top w:val="nil"/>
              <w:left w:val="nil"/>
              <w:bottom w:val="single" w:color="000000" w:sz="8" w:space="0"/>
              <w:right w:val="single" w:color="000000" w:sz="12" w:space="0"/>
            </w:tcBorders>
            <w:shd w:val="clear" w:color="auto" w:fill="auto"/>
            <w:tcMar>
              <w:top w:w="15" w:type="dxa"/>
              <w:left w:w="15" w:type="dxa"/>
              <w:bottom w:w="15" w:type="dxa"/>
              <w:right w:w="15" w:type="dxa"/>
            </w:tcMar>
            <w:vAlign w:val="center"/>
          </w:tcPr>
          <w:p>
            <w:pPr>
              <w:widowControl/>
              <w:jc w:val="center"/>
              <w:rPr>
                <w:rFonts w:hint="eastAsia" w:asciiTheme="minorEastAsia" w:hAnsiTheme="minorEastAsia" w:eastAsiaTheme="minorEastAsia" w:cstheme="minorEastAsia"/>
                <w:kern w:val="0"/>
                <w:sz w:val="21"/>
                <w:szCs w:val="21"/>
              </w:rPr>
            </w:pPr>
          </w:p>
        </w:tc>
      </w:tr>
      <w:tr>
        <w:tblPrEx>
          <w:tblCellMar>
            <w:top w:w="0" w:type="dxa"/>
            <w:left w:w="0" w:type="dxa"/>
            <w:bottom w:w="0" w:type="dxa"/>
            <w:right w:w="0" w:type="dxa"/>
          </w:tblCellMar>
        </w:tblPrEx>
        <w:trPr>
          <w:trHeight w:val="567" w:hRule="atLeast"/>
          <w:jc w:val="center"/>
        </w:trPr>
        <w:tc>
          <w:tcPr>
            <w:tcW w:w="1168" w:type="dxa"/>
            <w:tcBorders>
              <w:top w:val="nil"/>
              <w:left w:val="single" w:color="000000" w:sz="12" w:space="0"/>
              <w:bottom w:val="single" w:color="000000" w:sz="8" w:space="0"/>
              <w:right w:val="single" w:color="000000" w:sz="8" w:space="0"/>
            </w:tcBorders>
            <w:shd w:val="clear" w:color="auto" w:fill="auto"/>
            <w:tcMar>
              <w:top w:w="15" w:type="dxa"/>
              <w:left w:w="15" w:type="dxa"/>
              <w:bottom w:w="15" w:type="dxa"/>
              <w:right w:w="15" w:type="dxa"/>
            </w:tcMar>
            <w:vAlign w:val="center"/>
          </w:tcPr>
          <w:p>
            <w:pPr>
              <w:numPr>
                <w:ilvl w:val="0"/>
                <w:numId w:val="1"/>
              </w:numPr>
              <w:ind w:left="0" w:leftChars="0" w:firstLine="0" w:firstLineChars="0"/>
              <w:jc w:val="center"/>
              <w:rPr>
                <w:rFonts w:hint="eastAsia" w:ascii="宋体" w:hAnsi="宋体" w:eastAsia="宋体" w:cs="宋体"/>
                <w:lang w:val="en-US" w:eastAsia="zh-CN"/>
              </w:rPr>
            </w:pPr>
          </w:p>
        </w:tc>
        <w:tc>
          <w:tcPr>
            <w:tcW w:w="2881" w:type="dxa"/>
            <w:gridSpan w:val="3"/>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施工现场经安全检查考核达不到《建筑施工安全检查标准》要求的</w:t>
            </w:r>
          </w:p>
        </w:tc>
        <w:tc>
          <w:tcPr>
            <w:tcW w:w="1104" w:type="dxa"/>
            <w:gridSpan w:val="2"/>
            <w:tcBorders>
              <w:top w:val="nil"/>
              <w:left w:val="nil"/>
              <w:bottom w:val="single" w:color="000000" w:sz="8" w:space="0"/>
              <w:right w:val="single" w:color="auto" w:sz="8"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eastAsia="zh-CN"/>
              </w:rPr>
              <w:t>区住建局</w:t>
            </w:r>
          </w:p>
        </w:tc>
        <w:tc>
          <w:tcPr>
            <w:tcW w:w="200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危害后果轻微，主动消除或减轻违法行为后果</w:t>
            </w:r>
          </w:p>
        </w:tc>
        <w:tc>
          <w:tcPr>
            <w:tcW w:w="6301"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湖北省建设工程安全生产管理办法》第三十八条：施工单位有下列情形之一的，由项目所在地建设行政主管部门责令改正，并处1万元以下罚款。（三）施工现场经安全检查考核达不到《建筑施工安全检查标准》的</w:t>
            </w:r>
          </w:p>
        </w:tc>
        <w:tc>
          <w:tcPr>
            <w:tcW w:w="952" w:type="dxa"/>
            <w:tcBorders>
              <w:top w:val="nil"/>
              <w:left w:val="nil"/>
              <w:bottom w:val="single" w:color="000000" w:sz="8" w:space="0"/>
              <w:right w:val="single" w:color="000000" w:sz="12" w:space="0"/>
            </w:tcBorders>
            <w:shd w:val="clear" w:color="auto" w:fill="auto"/>
            <w:tcMar>
              <w:top w:w="15" w:type="dxa"/>
              <w:left w:w="15" w:type="dxa"/>
              <w:bottom w:w="15" w:type="dxa"/>
              <w:right w:w="15" w:type="dxa"/>
            </w:tcMar>
            <w:vAlign w:val="center"/>
          </w:tcPr>
          <w:p>
            <w:pPr>
              <w:widowControl/>
              <w:jc w:val="center"/>
              <w:rPr>
                <w:rFonts w:hint="eastAsia" w:asciiTheme="minorEastAsia" w:hAnsiTheme="minorEastAsia" w:eastAsiaTheme="minorEastAsia" w:cstheme="minorEastAsia"/>
                <w:kern w:val="0"/>
                <w:sz w:val="21"/>
                <w:szCs w:val="21"/>
              </w:rPr>
            </w:pPr>
          </w:p>
        </w:tc>
      </w:tr>
      <w:tr>
        <w:tblPrEx>
          <w:tblCellMar>
            <w:top w:w="0" w:type="dxa"/>
            <w:left w:w="0" w:type="dxa"/>
            <w:bottom w:w="0" w:type="dxa"/>
            <w:right w:w="0" w:type="dxa"/>
          </w:tblCellMar>
        </w:tblPrEx>
        <w:trPr>
          <w:trHeight w:val="567" w:hRule="atLeast"/>
          <w:jc w:val="center"/>
        </w:trPr>
        <w:tc>
          <w:tcPr>
            <w:tcW w:w="1168" w:type="dxa"/>
            <w:tcBorders>
              <w:top w:val="nil"/>
              <w:left w:val="single" w:color="000000" w:sz="12" w:space="0"/>
              <w:bottom w:val="single" w:color="000000" w:sz="8" w:space="0"/>
              <w:right w:val="single" w:color="000000" w:sz="8" w:space="0"/>
            </w:tcBorders>
            <w:shd w:val="clear" w:color="auto" w:fill="auto"/>
            <w:tcMar>
              <w:top w:w="15" w:type="dxa"/>
              <w:left w:w="15" w:type="dxa"/>
              <w:bottom w:w="15" w:type="dxa"/>
              <w:right w:w="15" w:type="dxa"/>
            </w:tcMar>
            <w:vAlign w:val="center"/>
          </w:tcPr>
          <w:p>
            <w:pPr>
              <w:numPr>
                <w:ilvl w:val="0"/>
                <w:numId w:val="1"/>
              </w:numPr>
              <w:ind w:left="0" w:leftChars="0" w:firstLine="0" w:firstLineChars="0"/>
              <w:jc w:val="center"/>
              <w:rPr>
                <w:rFonts w:hint="eastAsia" w:ascii="宋体" w:hAnsi="宋体" w:eastAsia="宋体" w:cs="宋体"/>
                <w:lang w:val="en-US" w:eastAsia="zh-CN"/>
              </w:rPr>
            </w:pPr>
          </w:p>
        </w:tc>
        <w:tc>
          <w:tcPr>
            <w:tcW w:w="2881" w:type="dxa"/>
            <w:gridSpan w:val="3"/>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施工现场发生四级及四级以上重大事故</w:t>
            </w:r>
          </w:p>
        </w:tc>
        <w:tc>
          <w:tcPr>
            <w:tcW w:w="1104" w:type="dxa"/>
            <w:gridSpan w:val="2"/>
            <w:tcBorders>
              <w:top w:val="nil"/>
              <w:left w:val="nil"/>
              <w:bottom w:val="single" w:color="000000" w:sz="8" w:space="0"/>
              <w:right w:val="single" w:color="auto" w:sz="8"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eastAsia="zh-CN"/>
              </w:rPr>
              <w:t>区住建局</w:t>
            </w:r>
          </w:p>
        </w:tc>
        <w:tc>
          <w:tcPr>
            <w:tcW w:w="200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危害后果轻微，主动消除或减轻违法行为后果</w:t>
            </w:r>
          </w:p>
        </w:tc>
        <w:tc>
          <w:tcPr>
            <w:tcW w:w="6301"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湖北省建设工程安全生产管理办法》第三十九条：施工现场出现下列情形之一的，由项目所在地建设行政主管部门责令施工单位、监理单位停业整顿，给予降低资质等级直至吊销资质证书的处罚，并处1万元以下罚款。对负有直接责任的项目经理、安全员和特种作业人员等持证人员，降低资格等级或吊销资格证书。（一）发生四级及四级以上重大事故的；</w:t>
            </w:r>
          </w:p>
        </w:tc>
        <w:tc>
          <w:tcPr>
            <w:tcW w:w="952" w:type="dxa"/>
            <w:tcBorders>
              <w:top w:val="nil"/>
              <w:left w:val="nil"/>
              <w:bottom w:val="single" w:color="000000" w:sz="8" w:space="0"/>
              <w:right w:val="single" w:color="000000" w:sz="12" w:space="0"/>
            </w:tcBorders>
            <w:shd w:val="clear" w:color="auto" w:fill="auto"/>
            <w:tcMar>
              <w:top w:w="15" w:type="dxa"/>
              <w:left w:w="15" w:type="dxa"/>
              <w:bottom w:w="15" w:type="dxa"/>
              <w:right w:w="15" w:type="dxa"/>
            </w:tcMar>
            <w:vAlign w:val="center"/>
          </w:tcPr>
          <w:p>
            <w:pPr>
              <w:widowControl/>
              <w:jc w:val="center"/>
              <w:rPr>
                <w:rFonts w:hint="eastAsia" w:asciiTheme="minorEastAsia" w:hAnsiTheme="minorEastAsia" w:eastAsiaTheme="minorEastAsia" w:cstheme="minorEastAsia"/>
                <w:kern w:val="0"/>
                <w:sz w:val="21"/>
                <w:szCs w:val="21"/>
              </w:rPr>
            </w:pPr>
          </w:p>
        </w:tc>
      </w:tr>
      <w:tr>
        <w:tblPrEx>
          <w:tblCellMar>
            <w:top w:w="0" w:type="dxa"/>
            <w:left w:w="0" w:type="dxa"/>
            <w:bottom w:w="0" w:type="dxa"/>
            <w:right w:w="0" w:type="dxa"/>
          </w:tblCellMar>
        </w:tblPrEx>
        <w:trPr>
          <w:trHeight w:val="567" w:hRule="atLeast"/>
          <w:jc w:val="center"/>
        </w:trPr>
        <w:tc>
          <w:tcPr>
            <w:tcW w:w="1168" w:type="dxa"/>
            <w:tcBorders>
              <w:top w:val="nil"/>
              <w:left w:val="single" w:color="000000" w:sz="12" w:space="0"/>
              <w:bottom w:val="single" w:color="000000" w:sz="8" w:space="0"/>
              <w:right w:val="single" w:color="000000" w:sz="8" w:space="0"/>
            </w:tcBorders>
            <w:shd w:val="clear" w:color="auto" w:fill="auto"/>
            <w:tcMar>
              <w:top w:w="15" w:type="dxa"/>
              <w:left w:w="15" w:type="dxa"/>
              <w:bottom w:w="15" w:type="dxa"/>
              <w:right w:w="15" w:type="dxa"/>
            </w:tcMar>
            <w:vAlign w:val="center"/>
          </w:tcPr>
          <w:p>
            <w:pPr>
              <w:numPr>
                <w:ilvl w:val="0"/>
                <w:numId w:val="1"/>
              </w:numPr>
              <w:ind w:left="0" w:leftChars="0" w:firstLine="0" w:firstLineChars="0"/>
              <w:jc w:val="center"/>
              <w:rPr>
                <w:rFonts w:hint="eastAsia" w:ascii="宋体" w:hAnsi="宋体" w:eastAsia="宋体" w:cs="宋体"/>
                <w:lang w:val="en-US" w:eastAsia="zh-CN"/>
              </w:rPr>
            </w:pPr>
          </w:p>
        </w:tc>
        <w:tc>
          <w:tcPr>
            <w:tcW w:w="2881" w:type="dxa"/>
            <w:gridSpan w:val="3"/>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施工现场存在重大安全隐患拒不整改</w:t>
            </w:r>
          </w:p>
        </w:tc>
        <w:tc>
          <w:tcPr>
            <w:tcW w:w="1104" w:type="dxa"/>
            <w:gridSpan w:val="2"/>
            <w:tcBorders>
              <w:top w:val="nil"/>
              <w:left w:val="nil"/>
              <w:bottom w:val="single" w:color="000000" w:sz="8" w:space="0"/>
              <w:right w:val="single" w:color="auto" w:sz="8"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eastAsia="zh-CN"/>
              </w:rPr>
              <w:t>区住建局</w:t>
            </w:r>
          </w:p>
        </w:tc>
        <w:tc>
          <w:tcPr>
            <w:tcW w:w="200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危害后果轻微，主动消除或减轻违法行为后果</w:t>
            </w:r>
          </w:p>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p>
        </w:tc>
        <w:tc>
          <w:tcPr>
            <w:tcW w:w="6301"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湖北省建设工程安全生产管理办法》第三十九条：施工现场出现下列情形之一的，由项目所在地建设行政主管部门责令施工单位、监理单位停业整顿，给予降低资质等级直至吊销资质证书的处罚，并处1万元以下罚款。对负有直接责任的项目经理、安全员和特种作业人员等持证人员，降低资格等级或吊销资格证书。（二）存在重大安全隐患拒不整改的；　</w:t>
            </w:r>
          </w:p>
        </w:tc>
        <w:tc>
          <w:tcPr>
            <w:tcW w:w="952" w:type="dxa"/>
            <w:tcBorders>
              <w:top w:val="nil"/>
              <w:left w:val="nil"/>
              <w:bottom w:val="single" w:color="000000" w:sz="8" w:space="0"/>
              <w:right w:val="single" w:color="000000" w:sz="12" w:space="0"/>
            </w:tcBorders>
            <w:shd w:val="clear" w:color="auto" w:fill="auto"/>
            <w:tcMar>
              <w:top w:w="15" w:type="dxa"/>
              <w:left w:w="15" w:type="dxa"/>
              <w:bottom w:w="15" w:type="dxa"/>
              <w:right w:w="15" w:type="dxa"/>
            </w:tcMar>
            <w:vAlign w:val="center"/>
          </w:tcPr>
          <w:p>
            <w:pPr>
              <w:widowControl/>
              <w:jc w:val="center"/>
              <w:rPr>
                <w:rFonts w:hint="eastAsia" w:asciiTheme="minorEastAsia" w:hAnsiTheme="minorEastAsia" w:eastAsiaTheme="minorEastAsia" w:cstheme="minorEastAsia"/>
                <w:kern w:val="0"/>
                <w:sz w:val="21"/>
                <w:szCs w:val="21"/>
              </w:rPr>
            </w:pPr>
          </w:p>
        </w:tc>
      </w:tr>
      <w:tr>
        <w:tblPrEx>
          <w:tblCellMar>
            <w:top w:w="0" w:type="dxa"/>
            <w:left w:w="0" w:type="dxa"/>
            <w:bottom w:w="0" w:type="dxa"/>
            <w:right w:w="0" w:type="dxa"/>
          </w:tblCellMar>
        </w:tblPrEx>
        <w:trPr>
          <w:trHeight w:val="567" w:hRule="atLeast"/>
          <w:jc w:val="center"/>
        </w:trPr>
        <w:tc>
          <w:tcPr>
            <w:tcW w:w="1168" w:type="dxa"/>
            <w:tcBorders>
              <w:top w:val="nil"/>
              <w:left w:val="single" w:color="000000" w:sz="12" w:space="0"/>
              <w:bottom w:val="single" w:color="000000" w:sz="8" w:space="0"/>
              <w:right w:val="single" w:color="000000" w:sz="8" w:space="0"/>
            </w:tcBorders>
            <w:shd w:val="clear" w:color="auto" w:fill="auto"/>
            <w:tcMar>
              <w:top w:w="15" w:type="dxa"/>
              <w:left w:w="15" w:type="dxa"/>
              <w:bottom w:w="15" w:type="dxa"/>
              <w:right w:w="15" w:type="dxa"/>
            </w:tcMar>
            <w:vAlign w:val="center"/>
          </w:tcPr>
          <w:p>
            <w:pPr>
              <w:numPr>
                <w:ilvl w:val="0"/>
                <w:numId w:val="1"/>
              </w:numPr>
              <w:ind w:left="0" w:leftChars="0" w:firstLine="0" w:firstLineChars="0"/>
              <w:jc w:val="center"/>
              <w:rPr>
                <w:rFonts w:hint="eastAsia" w:ascii="宋体" w:hAnsi="宋体" w:eastAsia="宋体" w:cs="宋体"/>
                <w:lang w:val="en-US" w:eastAsia="zh-CN"/>
              </w:rPr>
            </w:pPr>
          </w:p>
        </w:tc>
        <w:tc>
          <w:tcPr>
            <w:tcW w:w="2881" w:type="dxa"/>
            <w:gridSpan w:val="3"/>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施工现场发生四级以上重大事故隐瞒不报</w:t>
            </w:r>
          </w:p>
        </w:tc>
        <w:tc>
          <w:tcPr>
            <w:tcW w:w="1104" w:type="dxa"/>
            <w:gridSpan w:val="2"/>
            <w:tcBorders>
              <w:top w:val="nil"/>
              <w:left w:val="nil"/>
              <w:bottom w:val="single" w:color="000000" w:sz="8" w:space="0"/>
              <w:right w:val="single" w:color="auto" w:sz="8"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eastAsia="zh-CN"/>
              </w:rPr>
              <w:t>区住建局</w:t>
            </w:r>
          </w:p>
        </w:tc>
        <w:tc>
          <w:tcPr>
            <w:tcW w:w="200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危害后果轻微，主动消除或减轻违法行为后果</w:t>
            </w:r>
          </w:p>
        </w:tc>
        <w:tc>
          <w:tcPr>
            <w:tcW w:w="6301"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湖北省建设工程安全生产管理办法》第三十九条：施工现场出现下列情形之一的，由项目所在地建设行政主管部门责令施工单位、监理单位停业整顿，给予降低资质等级直至吊销资质证书的处罚，并处1万元以下罚款。对负有直接责任的项目经理、安全员和特种作业人员等持证人员，降低资格等级或吊销资格证书。（三）发生四级以上重大事故隐瞒不报的。</w:t>
            </w:r>
          </w:p>
        </w:tc>
        <w:tc>
          <w:tcPr>
            <w:tcW w:w="952" w:type="dxa"/>
            <w:tcBorders>
              <w:top w:val="nil"/>
              <w:left w:val="nil"/>
              <w:bottom w:val="single" w:color="000000" w:sz="8" w:space="0"/>
              <w:right w:val="single" w:color="000000" w:sz="12" w:space="0"/>
            </w:tcBorders>
            <w:shd w:val="clear" w:color="auto" w:fill="auto"/>
            <w:tcMar>
              <w:top w:w="15" w:type="dxa"/>
              <w:left w:w="15" w:type="dxa"/>
              <w:bottom w:w="15" w:type="dxa"/>
              <w:right w:w="15" w:type="dxa"/>
            </w:tcMar>
            <w:vAlign w:val="center"/>
          </w:tcPr>
          <w:p>
            <w:pPr>
              <w:widowControl/>
              <w:jc w:val="center"/>
              <w:rPr>
                <w:rFonts w:hint="eastAsia" w:asciiTheme="minorEastAsia" w:hAnsiTheme="minorEastAsia" w:eastAsiaTheme="minorEastAsia" w:cstheme="minorEastAsia"/>
                <w:kern w:val="0"/>
                <w:sz w:val="21"/>
                <w:szCs w:val="21"/>
              </w:rPr>
            </w:pPr>
          </w:p>
        </w:tc>
      </w:tr>
      <w:tr>
        <w:tblPrEx>
          <w:tblCellMar>
            <w:top w:w="0" w:type="dxa"/>
            <w:left w:w="0" w:type="dxa"/>
            <w:bottom w:w="0" w:type="dxa"/>
            <w:right w:w="0" w:type="dxa"/>
          </w:tblCellMar>
        </w:tblPrEx>
        <w:trPr>
          <w:trHeight w:val="567" w:hRule="atLeast"/>
          <w:jc w:val="center"/>
        </w:trPr>
        <w:tc>
          <w:tcPr>
            <w:tcW w:w="1168" w:type="dxa"/>
            <w:tcBorders>
              <w:top w:val="nil"/>
              <w:left w:val="single" w:color="000000" w:sz="12" w:space="0"/>
              <w:bottom w:val="single" w:color="000000" w:sz="8" w:space="0"/>
              <w:right w:val="single" w:color="000000" w:sz="8" w:space="0"/>
            </w:tcBorders>
            <w:shd w:val="clear" w:color="auto" w:fill="auto"/>
            <w:tcMar>
              <w:top w:w="15" w:type="dxa"/>
              <w:left w:w="15" w:type="dxa"/>
              <w:bottom w:w="15" w:type="dxa"/>
              <w:right w:w="15" w:type="dxa"/>
            </w:tcMar>
            <w:vAlign w:val="center"/>
          </w:tcPr>
          <w:p>
            <w:pPr>
              <w:numPr>
                <w:ilvl w:val="0"/>
                <w:numId w:val="1"/>
              </w:numPr>
              <w:ind w:left="0" w:leftChars="0" w:firstLine="0" w:firstLineChars="0"/>
              <w:jc w:val="center"/>
              <w:rPr>
                <w:rFonts w:hint="eastAsia" w:ascii="宋体" w:hAnsi="宋体" w:eastAsia="宋体" w:cs="宋体"/>
                <w:lang w:val="en-US" w:eastAsia="zh-CN"/>
              </w:rPr>
            </w:pPr>
          </w:p>
        </w:tc>
        <w:tc>
          <w:tcPr>
            <w:tcW w:w="2881" w:type="dxa"/>
            <w:gridSpan w:val="3"/>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建设单位对勘察、设计、施工、工程监理等单位提出不符合安全生产法律、法规和强制性标准规定的要求</w:t>
            </w:r>
          </w:p>
        </w:tc>
        <w:tc>
          <w:tcPr>
            <w:tcW w:w="1104" w:type="dxa"/>
            <w:gridSpan w:val="2"/>
            <w:tcBorders>
              <w:top w:val="nil"/>
              <w:left w:val="nil"/>
              <w:bottom w:val="single" w:color="000000" w:sz="8" w:space="0"/>
              <w:right w:val="single" w:color="auto" w:sz="8"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eastAsia="zh-CN"/>
              </w:rPr>
              <w:t>区住建局</w:t>
            </w:r>
          </w:p>
        </w:tc>
        <w:tc>
          <w:tcPr>
            <w:tcW w:w="200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未造成危害后果的</w:t>
            </w:r>
          </w:p>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p>
        </w:tc>
        <w:tc>
          <w:tcPr>
            <w:tcW w:w="6301"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建设工程安全生产管理条例》第五十五条：违反本条例的规定，建设单位有下列行为之一的，责令限期改正，处20万元以上50万元以下的罚款；造成重大安全事故，构成犯罪的，对直接责任人员，依照刑法有关规定追究刑事责任；造成损失的，依法承担赔偿责任： </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（一）对勘察、设计、施工、工程监理等单位提出不符合安全生产法律、法规和强制性标准规定的要求的；</w:t>
            </w:r>
          </w:p>
        </w:tc>
        <w:tc>
          <w:tcPr>
            <w:tcW w:w="952" w:type="dxa"/>
            <w:tcBorders>
              <w:top w:val="nil"/>
              <w:left w:val="nil"/>
              <w:bottom w:val="single" w:color="000000" w:sz="8" w:space="0"/>
              <w:right w:val="single" w:color="000000" w:sz="12" w:space="0"/>
            </w:tcBorders>
            <w:shd w:val="clear" w:color="auto" w:fill="auto"/>
            <w:tcMar>
              <w:top w:w="15" w:type="dxa"/>
              <w:left w:w="15" w:type="dxa"/>
              <w:bottom w:w="15" w:type="dxa"/>
              <w:right w:w="15" w:type="dxa"/>
            </w:tcMar>
            <w:vAlign w:val="center"/>
          </w:tcPr>
          <w:p>
            <w:pPr>
              <w:widowControl/>
              <w:jc w:val="center"/>
              <w:rPr>
                <w:rFonts w:hint="eastAsia" w:asciiTheme="minorEastAsia" w:hAnsiTheme="minorEastAsia" w:eastAsiaTheme="minorEastAsia" w:cstheme="minorEastAsia"/>
                <w:kern w:val="0"/>
                <w:sz w:val="21"/>
                <w:szCs w:val="21"/>
              </w:rPr>
            </w:pPr>
          </w:p>
        </w:tc>
      </w:tr>
      <w:tr>
        <w:tblPrEx>
          <w:tblCellMar>
            <w:top w:w="0" w:type="dxa"/>
            <w:left w:w="0" w:type="dxa"/>
            <w:bottom w:w="0" w:type="dxa"/>
            <w:right w:w="0" w:type="dxa"/>
          </w:tblCellMar>
        </w:tblPrEx>
        <w:trPr>
          <w:trHeight w:val="567" w:hRule="atLeast"/>
          <w:jc w:val="center"/>
        </w:trPr>
        <w:tc>
          <w:tcPr>
            <w:tcW w:w="1168" w:type="dxa"/>
            <w:tcBorders>
              <w:top w:val="nil"/>
              <w:left w:val="single" w:color="000000" w:sz="12" w:space="0"/>
              <w:bottom w:val="single" w:color="000000" w:sz="8" w:space="0"/>
              <w:right w:val="single" w:color="000000" w:sz="8" w:space="0"/>
            </w:tcBorders>
            <w:shd w:val="clear" w:color="auto" w:fill="auto"/>
            <w:tcMar>
              <w:top w:w="15" w:type="dxa"/>
              <w:left w:w="15" w:type="dxa"/>
              <w:bottom w:w="15" w:type="dxa"/>
              <w:right w:w="15" w:type="dxa"/>
            </w:tcMar>
            <w:vAlign w:val="center"/>
          </w:tcPr>
          <w:p>
            <w:pPr>
              <w:numPr>
                <w:ilvl w:val="0"/>
                <w:numId w:val="1"/>
              </w:numPr>
              <w:ind w:left="0" w:leftChars="0" w:firstLine="0" w:firstLineChars="0"/>
              <w:jc w:val="center"/>
              <w:rPr>
                <w:rFonts w:hint="eastAsia" w:ascii="宋体" w:hAnsi="宋体" w:eastAsia="宋体" w:cs="宋体"/>
                <w:lang w:val="en-US" w:eastAsia="zh-CN"/>
              </w:rPr>
            </w:pPr>
          </w:p>
        </w:tc>
        <w:tc>
          <w:tcPr>
            <w:tcW w:w="2881" w:type="dxa"/>
            <w:gridSpan w:val="3"/>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建设单位要求施工单位压缩合同约定的工期</w:t>
            </w:r>
          </w:p>
        </w:tc>
        <w:tc>
          <w:tcPr>
            <w:tcW w:w="1104" w:type="dxa"/>
            <w:gridSpan w:val="2"/>
            <w:tcBorders>
              <w:top w:val="nil"/>
              <w:left w:val="nil"/>
              <w:bottom w:val="single" w:color="000000" w:sz="8" w:space="0"/>
              <w:right w:val="single" w:color="auto" w:sz="8"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eastAsia="zh-CN"/>
              </w:rPr>
              <w:t>区住建局</w:t>
            </w:r>
          </w:p>
        </w:tc>
        <w:tc>
          <w:tcPr>
            <w:tcW w:w="200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压缩合同约定工期的幅度低于10%的</w:t>
            </w:r>
          </w:p>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p>
        </w:tc>
        <w:tc>
          <w:tcPr>
            <w:tcW w:w="6301"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建设工程安全生产管理条例》第五十五条：违反本条例的规定，建设单位有下列行为之一的，责令限期改正，处20万元以上50万元以下的罚款；造成重大安全事故，构成犯罪的，对直接责任人员，依照刑法有关规定追究刑事责任；造成损失的，依法承担赔偿责任：（二）要求施工单位压缩合同约定的工期的；</w:t>
            </w:r>
          </w:p>
        </w:tc>
        <w:tc>
          <w:tcPr>
            <w:tcW w:w="952" w:type="dxa"/>
            <w:tcBorders>
              <w:top w:val="nil"/>
              <w:left w:val="nil"/>
              <w:bottom w:val="single" w:color="000000" w:sz="8" w:space="0"/>
              <w:right w:val="single" w:color="000000" w:sz="12" w:space="0"/>
            </w:tcBorders>
            <w:shd w:val="clear" w:color="auto" w:fill="auto"/>
            <w:tcMar>
              <w:top w:w="15" w:type="dxa"/>
              <w:left w:w="15" w:type="dxa"/>
              <w:bottom w:w="15" w:type="dxa"/>
              <w:right w:w="15" w:type="dxa"/>
            </w:tcMar>
            <w:vAlign w:val="center"/>
          </w:tcPr>
          <w:p>
            <w:pPr>
              <w:widowControl/>
              <w:jc w:val="center"/>
              <w:rPr>
                <w:rFonts w:hint="eastAsia" w:asciiTheme="minorEastAsia" w:hAnsiTheme="minorEastAsia" w:eastAsiaTheme="minorEastAsia" w:cstheme="minorEastAsia"/>
                <w:kern w:val="0"/>
                <w:sz w:val="21"/>
                <w:szCs w:val="21"/>
              </w:rPr>
            </w:pPr>
          </w:p>
        </w:tc>
      </w:tr>
      <w:tr>
        <w:tblPrEx>
          <w:tblCellMar>
            <w:top w:w="0" w:type="dxa"/>
            <w:left w:w="0" w:type="dxa"/>
            <w:bottom w:w="0" w:type="dxa"/>
            <w:right w:w="0" w:type="dxa"/>
          </w:tblCellMar>
        </w:tblPrEx>
        <w:trPr>
          <w:trHeight w:val="567" w:hRule="atLeast"/>
          <w:jc w:val="center"/>
        </w:trPr>
        <w:tc>
          <w:tcPr>
            <w:tcW w:w="1168" w:type="dxa"/>
            <w:tcBorders>
              <w:top w:val="nil"/>
              <w:left w:val="single" w:color="000000" w:sz="12" w:space="0"/>
              <w:bottom w:val="single" w:color="000000" w:sz="8" w:space="0"/>
              <w:right w:val="single" w:color="000000" w:sz="8" w:space="0"/>
            </w:tcBorders>
            <w:shd w:val="clear" w:color="auto" w:fill="auto"/>
            <w:tcMar>
              <w:top w:w="15" w:type="dxa"/>
              <w:left w:w="15" w:type="dxa"/>
              <w:bottom w:w="15" w:type="dxa"/>
              <w:right w:w="15" w:type="dxa"/>
            </w:tcMar>
            <w:vAlign w:val="center"/>
          </w:tcPr>
          <w:p>
            <w:pPr>
              <w:numPr>
                <w:ilvl w:val="0"/>
                <w:numId w:val="1"/>
              </w:numPr>
              <w:ind w:left="0" w:leftChars="0" w:firstLine="0" w:firstLineChars="0"/>
              <w:jc w:val="center"/>
              <w:rPr>
                <w:rFonts w:hint="eastAsia" w:ascii="宋体" w:hAnsi="宋体" w:eastAsia="宋体" w:cs="宋体"/>
                <w:lang w:val="en-US" w:eastAsia="zh-CN"/>
              </w:rPr>
            </w:pPr>
          </w:p>
        </w:tc>
        <w:tc>
          <w:tcPr>
            <w:tcW w:w="2881" w:type="dxa"/>
            <w:gridSpan w:val="3"/>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建设单位将拆除工程发包给不具有相应资质等级的施工单位</w:t>
            </w:r>
          </w:p>
        </w:tc>
        <w:tc>
          <w:tcPr>
            <w:tcW w:w="1104" w:type="dxa"/>
            <w:gridSpan w:val="2"/>
            <w:tcBorders>
              <w:top w:val="nil"/>
              <w:left w:val="nil"/>
              <w:bottom w:val="single" w:color="000000" w:sz="8" w:space="0"/>
              <w:right w:val="single" w:color="auto" w:sz="8"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eastAsia="zh-CN"/>
              </w:rPr>
              <w:t>区住建局</w:t>
            </w:r>
          </w:p>
        </w:tc>
        <w:tc>
          <w:tcPr>
            <w:tcW w:w="200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可以纠正，未造成严重后果的</w:t>
            </w:r>
          </w:p>
        </w:tc>
        <w:tc>
          <w:tcPr>
            <w:tcW w:w="6301"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建设工程安全生产管理条例》第五十五条：违反本条例的规定，建设单位有下列行为之一的，责令限期改正，处20万元以上50万元以下的罚款；造成重大安全事故，构成犯罪的，对直接责任人员，依照刑法有关规定追究刑事责任；造成损失的，依法承担赔偿责任：</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（三）将拆除工程发包给不具有相应资质等级的施工单位的。</w:t>
            </w:r>
          </w:p>
        </w:tc>
        <w:tc>
          <w:tcPr>
            <w:tcW w:w="952" w:type="dxa"/>
            <w:tcBorders>
              <w:top w:val="nil"/>
              <w:left w:val="nil"/>
              <w:bottom w:val="single" w:color="000000" w:sz="8" w:space="0"/>
              <w:right w:val="single" w:color="000000" w:sz="12" w:space="0"/>
            </w:tcBorders>
            <w:shd w:val="clear" w:color="auto" w:fill="auto"/>
            <w:tcMar>
              <w:top w:w="15" w:type="dxa"/>
              <w:left w:w="15" w:type="dxa"/>
              <w:bottom w:w="15" w:type="dxa"/>
              <w:right w:w="15" w:type="dxa"/>
            </w:tcMar>
            <w:vAlign w:val="center"/>
          </w:tcPr>
          <w:p>
            <w:pPr>
              <w:widowControl/>
              <w:jc w:val="center"/>
              <w:rPr>
                <w:rFonts w:hint="eastAsia" w:asciiTheme="minorEastAsia" w:hAnsiTheme="minorEastAsia" w:eastAsiaTheme="minorEastAsia" w:cstheme="minorEastAsia"/>
                <w:kern w:val="0"/>
                <w:sz w:val="21"/>
                <w:szCs w:val="21"/>
              </w:rPr>
            </w:pPr>
          </w:p>
        </w:tc>
      </w:tr>
      <w:tr>
        <w:tblPrEx>
          <w:tblCellMar>
            <w:top w:w="0" w:type="dxa"/>
            <w:left w:w="0" w:type="dxa"/>
            <w:bottom w:w="0" w:type="dxa"/>
            <w:right w:w="0" w:type="dxa"/>
          </w:tblCellMar>
        </w:tblPrEx>
        <w:trPr>
          <w:trHeight w:val="567" w:hRule="atLeast"/>
          <w:jc w:val="center"/>
        </w:trPr>
        <w:tc>
          <w:tcPr>
            <w:tcW w:w="1168" w:type="dxa"/>
            <w:tcBorders>
              <w:top w:val="nil"/>
              <w:left w:val="single" w:color="000000" w:sz="12" w:space="0"/>
              <w:bottom w:val="single" w:color="000000" w:sz="8" w:space="0"/>
              <w:right w:val="single" w:color="000000" w:sz="8" w:space="0"/>
            </w:tcBorders>
            <w:shd w:val="clear" w:color="auto" w:fill="auto"/>
            <w:tcMar>
              <w:top w:w="15" w:type="dxa"/>
              <w:left w:w="15" w:type="dxa"/>
              <w:bottom w:w="15" w:type="dxa"/>
              <w:right w:w="15" w:type="dxa"/>
            </w:tcMar>
            <w:vAlign w:val="center"/>
          </w:tcPr>
          <w:p>
            <w:pPr>
              <w:numPr>
                <w:ilvl w:val="0"/>
                <w:numId w:val="1"/>
              </w:numPr>
              <w:ind w:left="0" w:leftChars="0" w:firstLine="0" w:firstLineChars="0"/>
              <w:jc w:val="center"/>
              <w:rPr>
                <w:rFonts w:hint="eastAsia" w:ascii="宋体" w:hAnsi="宋体" w:eastAsia="宋体" w:cs="宋体"/>
                <w:lang w:val="en-US" w:eastAsia="zh-CN"/>
              </w:rPr>
            </w:pPr>
          </w:p>
        </w:tc>
        <w:tc>
          <w:tcPr>
            <w:tcW w:w="2881" w:type="dxa"/>
            <w:gridSpan w:val="3"/>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勘察单位、设计单位未按照法律、法规和工程建设强制性标准进行勘察、设计</w:t>
            </w:r>
          </w:p>
        </w:tc>
        <w:tc>
          <w:tcPr>
            <w:tcW w:w="1104" w:type="dxa"/>
            <w:gridSpan w:val="2"/>
            <w:tcBorders>
              <w:top w:val="nil"/>
              <w:left w:val="nil"/>
              <w:bottom w:val="single" w:color="000000" w:sz="8" w:space="0"/>
              <w:right w:val="single" w:color="auto" w:sz="8"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eastAsia="zh-CN"/>
              </w:rPr>
              <w:t>区住建局</w:t>
            </w:r>
          </w:p>
        </w:tc>
        <w:tc>
          <w:tcPr>
            <w:tcW w:w="200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在同一项目中，未按照1条工程建设强制性标准进行勘察或设计</w:t>
            </w:r>
          </w:p>
        </w:tc>
        <w:tc>
          <w:tcPr>
            <w:tcW w:w="6301"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建设工程安全生产管理条例》第五十六条：违反本条例的规定，勘察单位、设计单位有下列行为之一的，责令限期改正，处10万元以上30万元以下的罚款；情节严重的，责令停业整顿，降低资质等级，直至吊销资质证书；造成重大安全事故，构成犯罪的，对直接责任人员，依照刑法有关规定追究刑事责任；造成损失的，依法承担赔偿责任：</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（一）未按照法律、法规和工程建设强制性标准进行勘察、设计的；</w:t>
            </w:r>
          </w:p>
        </w:tc>
        <w:tc>
          <w:tcPr>
            <w:tcW w:w="952" w:type="dxa"/>
            <w:tcBorders>
              <w:top w:val="nil"/>
              <w:left w:val="nil"/>
              <w:bottom w:val="single" w:color="000000" w:sz="8" w:space="0"/>
              <w:right w:val="single" w:color="000000" w:sz="12" w:space="0"/>
            </w:tcBorders>
            <w:shd w:val="clear" w:color="auto" w:fill="auto"/>
            <w:tcMar>
              <w:top w:w="15" w:type="dxa"/>
              <w:left w:w="15" w:type="dxa"/>
              <w:bottom w:w="15" w:type="dxa"/>
              <w:right w:w="15" w:type="dxa"/>
            </w:tcMar>
            <w:vAlign w:val="center"/>
          </w:tcPr>
          <w:p>
            <w:pPr>
              <w:widowControl/>
              <w:jc w:val="center"/>
              <w:rPr>
                <w:rFonts w:hint="eastAsia" w:asciiTheme="minorEastAsia" w:hAnsiTheme="minorEastAsia" w:eastAsiaTheme="minorEastAsia" w:cstheme="minorEastAsia"/>
                <w:kern w:val="0"/>
                <w:sz w:val="21"/>
                <w:szCs w:val="21"/>
              </w:rPr>
            </w:pPr>
          </w:p>
        </w:tc>
      </w:tr>
      <w:tr>
        <w:tblPrEx>
          <w:tblCellMar>
            <w:top w:w="0" w:type="dxa"/>
            <w:left w:w="0" w:type="dxa"/>
            <w:bottom w:w="0" w:type="dxa"/>
            <w:right w:w="0" w:type="dxa"/>
          </w:tblCellMar>
        </w:tblPrEx>
        <w:trPr>
          <w:trHeight w:val="567" w:hRule="atLeast"/>
          <w:jc w:val="center"/>
        </w:trPr>
        <w:tc>
          <w:tcPr>
            <w:tcW w:w="1168" w:type="dxa"/>
            <w:tcBorders>
              <w:top w:val="nil"/>
              <w:left w:val="single" w:color="000000" w:sz="12" w:space="0"/>
              <w:bottom w:val="single" w:color="000000" w:sz="8" w:space="0"/>
              <w:right w:val="single" w:color="000000" w:sz="8" w:space="0"/>
            </w:tcBorders>
            <w:shd w:val="clear" w:color="auto" w:fill="auto"/>
            <w:tcMar>
              <w:top w:w="15" w:type="dxa"/>
              <w:left w:w="15" w:type="dxa"/>
              <w:bottom w:w="15" w:type="dxa"/>
              <w:right w:w="15" w:type="dxa"/>
            </w:tcMar>
            <w:vAlign w:val="center"/>
          </w:tcPr>
          <w:p>
            <w:pPr>
              <w:numPr>
                <w:ilvl w:val="0"/>
                <w:numId w:val="1"/>
              </w:numPr>
              <w:ind w:left="0" w:leftChars="0" w:firstLine="0" w:firstLineChars="0"/>
              <w:jc w:val="center"/>
              <w:rPr>
                <w:rFonts w:hint="eastAsia" w:ascii="宋体" w:hAnsi="宋体" w:eastAsia="宋体" w:cs="宋体"/>
                <w:lang w:val="en-US" w:eastAsia="zh-CN"/>
              </w:rPr>
            </w:pPr>
          </w:p>
        </w:tc>
        <w:tc>
          <w:tcPr>
            <w:tcW w:w="2881" w:type="dxa"/>
            <w:gridSpan w:val="3"/>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采用新结构、新材料、新工艺的建设工程和特殊结构的建设工程，设计单位未在设计中提出保障施工作业人员安全和预防生产安全事故的措施建议</w:t>
            </w:r>
          </w:p>
        </w:tc>
        <w:tc>
          <w:tcPr>
            <w:tcW w:w="1104" w:type="dxa"/>
            <w:gridSpan w:val="2"/>
            <w:tcBorders>
              <w:top w:val="nil"/>
              <w:left w:val="nil"/>
              <w:bottom w:val="single" w:color="000000" w:sz="8" w:space="0"/>
              <w:right w:val="single" w:color="auto" w:sz="8"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eastAsia="zh-CN"/>
              </w:rPr>
              <w:t>区住建局</w:t>
            </w:r>
          </w:p>
        </w:tc>
        <w:tc>
          <w:tcPr>
            <w:tcW w:w="200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未造成危害后果或造成轻微危害后果的</w:t>
            </w:r>
          </w:p>
        </w:tc>
        <w:tc>
          <w:tcPr>
            <w:tcW w:w="6301"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建设工程安全生产管理条例》第五十六条：违反本条例的规定，勘察单位、设计单位有下列行为之一的，责令限期改正，处10万元以上30万元以下的罚款；情节严重的，责令停业整顿，降低资质等级，直至吊销资质证书；造成重大安全事故，构成犯罪的，对直接责任人员，依照刑法有关规定追究刑事责任；造成损失的，依法承担赔偿责任：</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（二）采用新结构、新材料、新工艺的建设工程和特殊结构的建设工程，设计单位未在设计中提出保障施工作业人员安全和预防生产安全事故的措施建议的。</w:t>
            </w:r>
          </w:p>
        </w:tc>
        <w:tc>
          <w:tcPr>
            <w:tcW w:w="952" w:type="dxa"/>
            <w:tcBorders>
              <w:top w:val="nil"/>
              <w:left w:val="nil"/>
              <w:bottom w:val="single" w:color="000000" w:sz="8" w:space="0"/>
              <w:right w:val="single" w:color="000000" w:sz="12" w:space="0"/>
            </w:tcBorders>
            <w:shd w:val="clear" w:color="auto" w:fill="auto"/>
            <w:tcMar>
              <w:top w:w="15" w:type="dxa"/>
              <w:left w:w="15" w:type="dxa"/>
              <w:bottom w:w="15" w:type="dxa"/>
              <w:right w:w="15" w:type="dxa"/>
            </w:tcMar>
            <w:vAlign w:val="center"/>
          </w:tcPr>
          <w:p>
            <w:pPr>
              <w:widowControl/>
              <w:jc w:val="center"/>
              <w:rPr>
                <w:rFonts w:hint="eastAsia" w:asciiTheme="minorEastAsia" w:hAnsiTheme="minorEastAsia" w:eastAsiaTheme="minorEastAsia" w:cstheme="minorEastAsia"/>
                <w:kern w:val="0"/>
                <w:sz w:val="21"/>
                <w:szCs w:val="21"/>
              </w:rPr>
            </w:pPr>
          </w:p>
        </w:tc>
      </w:tr>
      <w:tr>
        <w:tblPrEx>
          <w:tblCellMar>
            <w:top w:w="0" w:type="dxa"/>
            <w:left w:w="0" w:type="dxa"/>
            <w:bottom w:w="0" w:type="dxa"/>
            <w:right w:w="0" w:type="dxa"/>
          </w:tblCellMar>
        </w:tblPrEx>
        <w:trPr>
          <w:trHeight w:val="567" w:hRule="atLeast"/>
          <w:jc w:val="center"/>
        </w:trPr>
        <w:tc>
          <w:tcPr>
            <w:tcW w:w="1168" w:type="dxa"/>
            <w:tcBorders>
              <w:top w:val="nil"/>
              <w:left w:val="single" w:color="000000" w:sz="12" w:space="0"/>
              <w:bottom w:val="single" w:color="000000" w:sz="8" w:space="0"/>
              <w:right w:val="single" w:color="000000" w:sz="8" w:space="0"/>
            </w:tcBorders>
            <w:shd w:val="clear" w:color="auto" w:fill="auto"/>
            <w:tcMar>
              <w:top w:w="15" w:type="dxa"/>
              <w:left w:w="15" w:type="dxa"/>
              <w:bottom w:w="15" w:type="dxa"/>
              <w:right w:w="15" w:type="dxa"/>
            </w:tcMar>
            <w:vAlign w:val="center"/>
          </w:tcPr>
          <w:p>
            <w:pPr>
              <w:numPr>
                <w:ilvl w:val="0"/>
                <w:numId w:val="1"/>
              </w:numPr>
              <w:ind w:left="0" w:leftChars="0" w:firstLine="0" w:firstLineChars="0"/>
              <w:jc w:val="center"/>
              <w:rPr>
                <w:rFonts w:hint="eastAsia" w:ascii="宋体" w:hAnsi="宋体" w:eastAsia="宋体" w:cs="宋体"/>
                <w:lang w:val="en-US" w:eastAsia="zh-CN"/>
              </w:rPr>
            </w:pPr>
          </w:p>
        </w:tc>
        <w:tc>
          <w:tcPr>
            <w:tcW w:w="2881" w:type="dxa"/>
            <w:gridSpan w:val="3"/>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工程监理单位未对施工组织设计中的安全技术措施或者专项施工方案进行审查的；发现安全事故隐患未及时要求施工单位整改或者暂时停止施工的；施工单位拒不整改或者不停止施工，未及时向有关主管部门报告的；未依照法律、法规和工程建设强制性标准实施监理的且逾期未改正的</w:t>
            </w:r>
          </w:p>
        </w:tc>
        <w:tc>
          <w:tcPr>
            <w:tcW w:w="1104" w:type="dxa"/>
            <w:gridSpan w:val="2"/>
            <w:tcBorders>
              <w:top w:val="nil"/>
              <w:left w:val="nil"/>
              <w:bottom w:val="single" w:color="000000" w:sz="8" w:space="0"/>
              <w:right w:val="single" w:color="auto" w:sz="8"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eastAsia="zh-CN"/>
              </w:rPr>
              <w:t>区住建局</w:t>
            </w:r>
          </w:p>
        </w:tc>
        <w:tc>
          <w:tcPr>
            <w:tcW w:w="200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未涉及危险性较大分部分项工程；或虽涉及危险性较大分部分项工程，但尚未超过规定规模的</w:t>
            </w:r>
          </w:p>
        </w:tc>
        <w:tc>
          <w:tcPr>
            <w:tcW w:w="6301"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建设工程安全生产管理条例》第五十七条：违反本条例的规定，工程监理单位有下列行为之一的，责令限期改正；逾期未改正的，责令停业整顿，并处10万元以上30万元以下的罚款；情节严重的，降低资质等级，直至吊销资质证书；造成重大安全事故，构成犯罪的，对直接责任人员，依照刑法有关规定追究刑事责任；造成损失的，依法承担赔偿责任：（一）未对施工组织设计中的安全技术措施或者专项施工方案进行审查的；（二）发现安全事故隐患未及时要求施工单位整改或者暂时停止施工的；（三）施工单位拒不整改或者不停止施工，未及时向有关主管部门报告的；（四）未依照法律、法规和工程建设强制性标准实施监理的。</w:t>
            </w:r>
          </w:p>
        </w:tc>
        <w:tc>
          <w:tcPr>
            <w:tcW w:w="952" w:type="dxa"/>
            <w:tcBorders>
              <w:top w:val="nil"/>
              <w:left w:val="nil"/>
              <w:bottom w:val="single" w:color="000000" w:sz="8" w:space="0"/>
              <w:right w:val="single" w:color="000000" w:sz="12" w:space="0"/>
            </w:tcBorders>
            <w:shd w:val="clear" w:color="auto" w:fill="auto"/>
            <w:tcMar>
              <w:top w:w="15" w:type="dxa"/>
              <w:left w:w="15" w:type="dxa"/>
              <w:bottom w:w="15" w:type="dxa"/>
              <w:right w:w="15" w:type="dxa"/>
            </w:tcMar>
            <w:vAlign w:val="center"/>
          </w:tcPr>
          <w:p>
            <w:pPr>
              <w:widowControl/>
              <w:jc w:val="center"/>
              <w:rPr>
                <w:rFonts w:hint="eastAsia" w:asciiTheme="minorEastAsia" w:hAnsiTheme="minorEastAsia" w:eastAsiaTheme="minorEastAsia" w:cstheme="minorEastAsia"/>
                <w:kern w:val="0"/>
                <w:sz w:val="21"/>
                <w:szCs w:val="21"/>
              </w:rPr>
            </w:pPr>
          </w:p>
        </w:tc>
      </w:tr>
      <w:tr>
        <w:tblPrEx>
          <w:tblCellMar>
            <w:top w:w="0" w:type="dxa"/>
            <w:left w:w="0" w:type="dxa"/>
            <w:bottom w:w="0" w:type="dxa"/>
            <w:right w:w="0" w:type="dxa"/>
          </w:tblCellMar>
        </w:tblPrEx>
        <w:trPr>
          <w:trHeight w:val="567" w:hRule="atLeast"/>
          <w:jc w:val="center"/>
        </w:trPr>
        <w:tc>
          <w:tcPr>
            <w:tcW w:w="1168" w:type="dxa"/>
            <w:tcBorders>
              <w:top w:val="nil"/>
              <w:left w:val="single" w:color="000000" w:sz="12" w:space="0"/>
              <w:bottom w:val="single" w:color="000000" w:sz="8" w:space="0"/>
              <w:right w:val="single" w:color="000000" w:sz="8" w:space="0"/>
            </w:tcBorders>
            <w:shd w:val="clear" w:color="auto" w:fill="auto"/>
            <w:tcMar>
              <w:top w:w="15" w:type="dxa"/>
              <w:left w:w="15" w:type="dxa"/>
              <w:bottom w:w="15" w:type="dxa"/>
              <w:right w:w="15" w:type="dxa"/>
            </w:tcMar>
            <w:vAlign w:val="center"/>
          </w:tcPr>
          <w:p>
            <w:pPr>
              <w:numPr>
                <w:ilvl w:val="0"/>
                <w:numId w:val="1"/>
              </w:numPr>
              <w:ind w:left="0" w:leftChars="0" w:firstLine="0" w:firstLineChars="0"/>
              <w:jc w:val="center"/>
              <w:rPr>
                <w:rFonts w:hint="eastAsia" w:ascii="宋体" w:hAnsi="宋体" w:eastAsia="宋体" w:cs="宋体"/>
                <w:lang w:val="en-US" w:eastAsia="zh-CN"/>
              </w:rPr>
            </w:pPr>
          </w:p>
        </w:tc>
        <w:tc>
          <w:tcPr>
            <w:tcW w:w="2881" w:type="dxa"/>
            <w:gridSpan w:val="3"/>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注册执业人员未执行法律、法规和工程建设强制性标准</w:t>
            </w:r>
          </w:p>
        </w:tc>
        <w:tc>
          <w:tcPr>
            <w:tcW w:w="1104" w:type="dxa"/>
            <w:gridSpan w:val="2"/>
            <w:tcBorders>
              <w:top w:val="nil"/>
              <w:left w:val="nil"/>
              <w:bottom w:val="single" w:color="000000" w:sz="8" w:space="0"/>
              <w:right w:val="single" w:color="auto" w:sz="8"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eastAsia="zh-CN"/>
              </w:rPr>
              <w:t>区住建局</w:t>
            </w:r>
          </w:p>
        </w:tc>
        <w:tc>
          <w:tcPr>
            <w:tcW w:w="200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未构成严重情节，未造成重大安全事故</w:t>
            </w:r>
          </w:p>
        </w:tc>
        <w:tc>
          <w:tcPr>
            <w:tcW w:w="6301"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建设工程安全生产管理条例》第五十八条：注册执业人员未执行法律、法规和工程建设强制性标准的，责令停止执业3个月以上1年以下；情节严重的，吊销执业资格证书，5年内不予注册；造成重大安全事故的，终身不予注册；构成犯罪的，依照刑法有关规定追究刑事责任</w:t>
            </w:r>
          </w:p>
        </w:tc>
        <w:tc>
          <w:tcPr>
            <w:tcW w:w="952" w:type="dxa"/>
            <w:tcBorders>
              <w:top w:val="nil"/>
              <w:left w:val="nil"/>
              <w:bottom w:val="single" w:color="000000" w:sz="8" w:space="0"/>
              <w:right w:val="single" w:color="000000" w:sz="12" w:space="0"/>
            </w:tcBorders>
            <w:shd w:val="clear" w:color="auto" w:fill="auto"/>
            <w:tcMar>
              <w:top w:w="15" w:type="dxa"/>
              <w:left w:w="15" w:type="dxa"/>
              <w:bottom w:w="15" w:type="dxa"/>
              <w:right w:w="15" w:type="dxa"/>
            </w:tcMar>
            <w:vAlign w:val="center"/>
          </w:tcPr>
          <w:p>
            <w:pPr>
              <w:widowControl/>
              <w:jc w:val="center"/>
              <w:rPr>
                <w:rFonts w:hint="eastAsia" w:asciiTheme="minorEastAsia" w:hAnsiTheme="minorEastAsia" w:eastAsiaTheme="minorEastAsia" w:cstheme="minorEastAsia"/>
                <w:kern w:val="0"/>
                <w:sz w:val="21"/>
                <w:szCs w:val="21"/>
              </w:rPr>
            </w:pPr>
          </w:p>
        </w:tc>
      </w:tr>
      <w:tr>
        <w:tblPrEx>
          <w:tblCellMar>
            <w:top w:w="0" w:type="dxa"/>
            <w:left w:w="0" w:type="dxa"/>
            <w:bottom w:w="0" w:type="dxa"/>
            <w:right w:w="0" w:type="dxa"/>
          </w:tblCellMar>
        </w:tblPrEx>
        <w:trPr>
          <w:trHeight w:val="567" w:hRule="atLeast"/>
          <w:jc w:val="center"/>
        </w:trPr>
        <w:tc>
          <w:tcPr>
            <w:tcW w:w="1168" w:type="dxa"/>
            <w:tcBorders>
              <w:top w:val="nil"/>
              <w:left w:val="single" w:color="000000" w:sz="12" w:space="0"/>
              <w:bottom w:val="single" w:color="000000" w:sz="8" w:space="0"/>
              <w:right w:val="single" w:color="000000" w:sz="8" w:space="0"/>
            </w:tcBorders>
            <w:shd w:val="clear" w:color="auto" w:fill="auto"/>
            <w:tcMar>
              <w:top w:w="15" w:type="dxa"/>
              <w:left w:w="15" w:type="dxa"/>
              <w:bottom w:w="15" w:type="dxa"/>
              <w:right w:w="15" w:type="dxa"/>
            </w:tcMar>
            <w:vAlign w:val="center"/>
          </w:tcPr>
          <w:p>
            <w:pPr>
              <w:numPr>
                <w:ilvl w:val="0"/>
                <w:numId w:val="1"/>
              </w:numPr>
              <w:ind w:left="0" w:leftChars="0" w:firstLine="0" w:firstLineChars="0"/>
              <w:jc w:val="center"/>
              <w:rPr>
                <w:rFonts w:hint="eastAsia" w:ascii="宋体" w:hAnsi="宋体" w:eastAsia="宋体" w:cs="宋体"/>
                <w:lang w:val="en-US" w:eastAsia="zh-CN"/>
              </w:rPr>
            </w:pPr>
          </w:p>
        </w:tc>
        <w:tc>
          <w:tcPr>
            <w:tcW w:w="2881" w:type="dxa"/>
            <w:gridSpan w:val="3"/>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为建设工程提供机械设备和配件的单位，未按照安全施工的要求配备齐全有效的保险、限位等安全设施和装置的</w:t>
            </w:r>
          </w:p>
        </w:tc>
        <w:tc>
          <w:tcPr>
            <w:tcW w:w="1104" w:type="dxa"/>
            <w:gridSpan w:val="2"/>
            <w:tcBorders>
              <w:top w:val="nil"/>
              <w:left w:val="nil"/>
              <w:bottom w:val="single" w:color="000000" w:sz="8" w:space="0"/>
              <w:right w:val="single" w:color="auto" w:sz="8"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eastAsia="zh-CN"/>
              </w:rPr>
              <w:t>区住建局</w:t>
            </w:r>
          </w:p>
        </w:tc>
        <w:tc>
          <w:tcPr>
            <w:tcW w:w="200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尚未造成工程安全事故的</w:t>
            </w:r>
          </w:p>
        </w:tc>
        <w:tc>
          <w:tcPr>
            <w:tcW w:w="6301"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建设工程安全生产管理条例》第五十九条：违反本条例的规定，为建设工程提供机械设备和配件的单位，未按照安全施工的要求配备齐全有效的保险、限位等安全设施和装置的，责令限期改正，处合同价款1倍以上3倍以下的罚款；造成损失的，依法承担赔偿责任。</w:t>
            </w:r>
          </w:p>
        </w:tc>
        <w:tc>
          <w:tcPr>
            <w:tcW w:w="952" w:type="dxa"/>
            <w:tcBorders>
              <w:top w:val="nil"/>
              <w:left w:val="nil"/>
              <w:bottom w:val="single" w:color="000000" w:sz="8" w:space="0"/>
              <w:right w:val="single" w:color="000000" w:sz="12" w:space="0"/>
            </w:tcBorders>
            <w:shd w:val="clear" w:color="auto" w:fill="auto"/>
            <w:tcMar>
              <w:top w:w="15" w:type="dxa"/>
              <w:left w:w="15" w:type="dxa"/>
              <w:bottom w:w="15" w:type="dxa"/>
              <w:right w:w="15" w:type="dxa"/>
            </w:tcMar>
            <w:vAlign w:val="center"/>
          </w:tcPr>
          <w:p>
            <w:pPr>
              <w:widowControl/>
              <w:jc w:val="center"/>
              <w:rPr>
                <w:rFonts w:hint="eastAsia" w:asciiTheme="minorEastAsia" w:hAnsiTheme="minorEastAsia" w:eastAsiaTheme="minorEastAsia" w:cstheme="minorEastAsia"/>
                <w:kern w:val="0"/>
                <w:sz w:val="21"/>
                <w:szCs w:val="21"/>
              </w:rPr>
            </w:pPr>
          </w:p>
        </w:tc>
      </w:tr>
      <w:tr>
        <w:tblPrEx>
          <w:tblCellMar>
            <w:top w:w="0" w:type="dxa"/>
            <w:left w:w="0" w:type="dxa"/>
            <w:bottom w:w="0" w:type="dxa"/>
            <w:right w:w="0" w:type="dxa"/>
          </w:tblCellMar>
        </w:tblPrEx>
        <w:trPr>
          <w:trHeight w:val="567" w:hRule="atLeast"/>
          <w:jc w:val="center"/>
        </w:trPr>
        <w:tc>
          <w:tcPr>
            <w:tcW w:w="1168" w:type="dxa"/>
            <w:tcBorders>
              <w:top w:val="nil"/>
              <w:left w:val="single" w:color="000000" w:sz="12" w:space="0"/>
              <w:bottom w:val="single" w:color="000000" w:sz="8" w:space="0"/>
              <w:right w:val="single" w:color="000000" w:sz="8" w:space="0"/>
            </w:tcBorders>
            <w:shd w:val="clear" w:color="auto" w:fill="auto"/>
            <w:tcMar>
              <w:top w:w="15" w:type="dxa"/>
              <w:left w:w="15" w:type="dxa"/>
              <w:bottom w:w="15" w:type="dxa"/>
              <w:right w:w="15" w:type="dxa"/>
            </w:tcMar>
            <w:vAlign w:val="center"/>
          </w:tcPr>
          <w:p>
            <w:pPr>
              <w:numPr>
                <w:ilvl w:val="0"/>
                <w:numId w:val="1"/>
              </w:numPr>
              <w:ind w:left="0" w:leftChars="0" w:firstLine="0" w:firstLineChars="0"/>
              <w:jc w:val="center"/>
              <w:rPr>
                <w:rFonts w:hint="eastAsia" w:ascii="宋体" w:hAnsi="宋体" w:eastAsia="宋体" w:cs="宋体"/>
                <w:lang w:val="en-US" w:eastAsia="zh-CN"/>
              </w:rPr>
            </w:pPr>
          </w:p>
        </w:tc>
        <w:tc>
          <w:tcPr>
            <w:tcW w:w="2881" w:type="dxa"/>
            <w:gridSpan w:val="3"/>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出租单位出租未经安全性能检测或者经检测不合格的机械设备和施工机具及配件</w:t>
            </w:r>
          </w:p>
        </w:tc>
        <w:tc>
          <w:tcPr>
            <w:tcW w:w="1104" w:type="dxa"/>
            <w:gridSpan w:val="2"/>
            <w:tcBorders>
              <w:top w:val="nil"/>
              <w:left w:val="nil"/>
              <w:bottom w:val="single" w:color="000000" w:sz="8" w:space="0"/>
              <w:right w:val="single" w:color="auto" w:sz="8"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eastAsia="zh-CN"/>
              </w:rPr>
              <w:t>区住建局</w:t>
            </w:r>
          </w:p>
        </w:tc>
        <w:tc>
          <w:tcPr>
            <w:tcW w:w="200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尚未造成工程安全事故的</w:t>
            </w:r>
          </w:p>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p>
        </w:tc>
        <w:tc>
          <w:tcPr>
            <w:tcW w:w="6301"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建设工程安全生产管理条例》第六十条：违反本条例的规定，出租单位出租未经安全性能检测或者经检测不合格的机械设备和施工机具及配件的，责令停业整顿，并处5万元以上10万元以下的罚款；造成损失的，依法承担赔偿责任。</w:t>
            </w:r>
          </w:p>
        </w:tc>
        <w:tc>
          <w:tcPr>
            <w:tcW w:w="952" w:type="dxa"/>
            <w:tcBorders>
              <w:top w:val="nil"/>
              <w:left w:val="nil"/>
              <w:bottom w:val="single" w:color="000000" w:sz="8" w:space="0"/>
              <w:right w:val="single" w:color="000000" w:sz="12" w:space="0"/>
            </w:tcBorders>
            <w:shd w:val="clear" w:color="auto" w:fill="auto"/>
            <w:tcMar>
              <w:top w:w="15" w:type="dxa"/>
              <w:left w:w="15" w:type="dxa"/>
              <w:bottom w:w="15" w:type="dxa"/>
              <w:right w:w="15" w:type="dxa"/>
            </w:tcMar>
            <w:vAlign w:val="center"/>
          </w:tcPr>
          <w:p>
            <w:pPr>
              <w:widowControl/>
              <w:jc w:val="center"/>
              <w:rPr>
                <w:rFonts w:hint="eastAsia" w:asciiTheme="minorEastAsia" w:hAnsiTheme="minorEastAsia" w:eastAsiaTheme="minorEastAsia" w:cstheme="minorEastAsia"/>
                <w:kern w:val="0"/>
                <w:sz w:val="21"/>
                <w:szCs w:val="21"/>
              </w:rPr>
            </w:pPr>
          </w:p>
        </w:tc>
      </w:tr>
      <w:tr>
        <w:tblPrEx>
          <w:tblCellMar>
            <w:top w:w="0" w:type="dxa"/>
            <w:left w:w="0" w:type="dxa"/>
            <w:bottom w:w="0" w:type="dxa"/>
            <w:right w:w="0" w:type="dxa"/>
          </w:tblCellMar>
        </w:tblPrEx>
        <w:trPr>
          <w:trHeight w:val="567" w:hRule="atLeast"/>
          <w:jc w:val="center"/>
        </w:trPr>
        <w:tc>
          <w:tcPr>
            <w:tcW w:w="1168" w:type="dxa"/>
            <w:tcBorders>
              <w:top w:val="nil"/>
              <w:left w:val="single" w:color="000000" w:sz="12" w:space="0"/>
              <w:bottom w:val="single" w:color="000000" w:sz="8" w:space="0"/>
              <w:right w:val="single" w:color="000000" w:sz="8" w:space="0"/>
            </w:tcBorders>
            <w:shd w:val="clear" w:color="auto" w:fill="auto"/>
            <w:tcMar>
              <w:top w:w="15" w:type="dxa"/>
              <w:left w:w="15" w:type="dxa"/>
              <w:bottom w:w="15" w:type="dxa"/>
              <w:right w:w="15" w:type="dxa"/>
            </w:tcMar>
            <w:vAlign w:val="center"/>
          </w:tcPr>
          <w:p>
            <w:pPr>
              <w:numPr>
                <w:ilvl w:val="0"/>
                <w:numId w:val="1"/>
              </w:numPr>
              <w:ind w:left="0" w:leftChars="0" w:firstLine="0" w:firstLineChars="0"/>
              <w:jc w:val="center"/>
              <w:rPr>
                <w:rFonts w:hint="eastAsia" w:ascii="宋体" w:hAnsi="宋体" w:eastAsia="宋体" w:cs="宋体"/>
                <w:lang w:val="en-US" w:eastAsia="zh-CN"/>
              </w:rPr>
            </w:pPr>
          </w:p>
        </w:tc>
        <w:tc>
          <w:tcPr>
            <w:tcW w:w="2881" w:type="dxa"/>
            <w:gridSpan w:val="3"/>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施工起重机械和整体提升脚手架、模板等自升式架设设施安装、拆卸单位未编制拆装方案、制定安全施工措施的；未由专业技术人员现场监督的；未出具自检合格证明或者出具虚假证明的；</w:t>
            </w:r>
          </w:p>
        </w:tc>
        <w:tc>
          <w:tcPr>
            <w:tcW w:w="1104" w:type="dxa"/>
            <w:gridSpan w:val="2"/>
            <w:tcBorders>
              <w:top w:val="nil"/>
              <w:left w:val="nil"/>
              <w:bottom w:val="single" w:color="000000" w:sz="8" w:space="0"/>
              <w:right w:val="single" w:color="auto" w:sz="8"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eastAsia="zh-CN"/>
              </w:rPr>
              <w:t>区住建局</w:t>
            </w:r>
          </w:p>
        </w:tc>
        <w:tc>
          <w:tcPr>
            <w:tcW w:w="200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未涉及危险性较大分部分项工程；或虽涉及危险性较大分部分项工程，但尚未超过规定规模的</w:t>
            </w:r>
          </w:p>
        </w:tc>
        <w:tc>
          <w:tcPr>
            <w:tcW w:w="6301"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建设工程安全生产管理条例》第六十一条：违反本条例的规定，施工起重机械和整体提升脚手架、模板等自升式架设设施安装、拆卸单位有下列行为之一的，责令限期改正，处5万元以上10万元以下的罚款；情节严重的，责令停业整顿，降低资质等级，直至吊销资质证书；造成损失的，依法承担赔偿责任：（一）未编制拆装方案、制定安全施工措施的；（二）未由专业技术人员现场监督的；（三）未出具自检合格证明或者出具虚假证明的；</w:t>
            </w:r>
          </w:p>
        </w:tc>
        <w:tc>
          <w:tcPr>
            <w:tcW w:w="952" w:type="dxa"/>
            <w:tcBorders>
              <w:top w:val="nil"/>
              <w:left w:val="nil"/>
              <w:bottom w:val="single" w:color="000000" w:sz="8" w:space="0"/>
              <w:right w:val="single" w:color="000000" w:sz="12" w:space="0"/>
            </w:tcBorders>
            <w:shd w:val="clear" w:color="auto" w:fill="auto"/>
            <w:tcMar>
              <w:top w:w="15" w:type="dxa"/>
              <w:left w:w="15" w:type="dxa"/>
              <w:bottom w:w="15" w:type="dxa"/>
              <w:right w:w="15" w:type="dxa"/>
            </w:tcMar>
            <w:vAlign w:val="center"/>
          </w:tcPr>
          <w:p>
            <w:pPr>
              <w:widowControl/>
              <w:jc w:val="center"/>
              <w:rPr>
                <w:rFonts w:hint="eastAsia" w:asciiTheme="minorEastAsia" w:hAnsiTheme="minorEastAsia" w:eastAsiaTheme="minorEastAsia" w:cstheme="minorEastAsia"/>
                <w:kern w:val="0"/>
                <w:sz w:val="21"/>
                <w:szCs w:val="21"/>
              </w:rPr>
            </w:pPr>
          </w:p>
        </w:tc>
      </w:tr>
      <w:tr>
        <w:tblPrEx>
          <w:tblCellMar>
            <w:top w:w="0" w:type="dxa"/>
            <w:left w:w="0" w:type="dxa"/>
            <w:bottom w:w="0" w:type="dxa"/>
            <w:right w:w="0" w:type="dxa"/>
          </w:tblCellMar>
        </w:tblPrEx>
        <w:trPr>
          <w:trHeight w:val="567" w:hRule="atLeast"/>
          <w:jc w:val="center"/>
        </w:trPr>
        <w:tc>
          <w:tcPr>
            <w:tcW w:w="1168" w:type="dxa"/>
            <w:tcBorders>
              <w:top w:val="nil"/>
              <w:left w:val="single" w:color="000000" w:sz="12" w:space="0"/>
              <w:bottom w:val="single" w:color="000000" w:sz="8" w:space="0"/>
              <w:right w:val="single" w:color="000000" w:sz="8" w:space="0"/>
            </w:tcBorders>
            <w:shd w:val="clear" w:color="auto" w:fill="auto"/>
            <w:tcMar>
              <w:top w:w="15" w:type="dxa"/>
              <w:left w:w="15" w:type="dxa"/>
              <w:bottom w:w="15" w:type="dxa"/>
              <w:right w:w="15" w:type="dxa"/>
            </w:tcMar>
            <w:vAlign w:val="center"/>
          </w:tcPr>
          <w:p>
            <w:pPr>
              <w:numPr>
                <w:ilvl w:val="0"/>
                <w:numId w:val="1"/>
              </w:numPr>
              <w:ind w:left="0" w:leftChars="0" w:firstLine="0" w:firstLineChars="0"/>
              <w:jc w:val="center"/>
              <w:rPr>
                <w:rFonts w:hint="eastAsia" w:ascii="宋体" w:hAnsi="宋体" w:eastAsia="宋体" w:cs="宋体"/>
                <w:lang w:val="en-US" w:eastAsia="zh-CN"/>
              </w:rPr>
            </w:pPr>
          </w:p>
        </w:tc>
        <w:tc>
          <w:tcPr>
            <w:tcW w:w="2881" w:type="dxa"/>
            <w:gridSpan w:val="3"/>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施工起重机械和整体提升脚手架、模板等自升式架设设施安装、拆卸单位未向施工单位进行安全使用说明，办理移交手续的</w:t>
            </w:r>
          </w:p>
        </w:tc>
        <w:tc>
          <w:tcPr>
            <w:tcW w:w="1104" w:type="dxa"/>
            <w:gridSpan w:val="2"/>
            <w:tcBorders>
              <w:top w:val="nil"/>
              <w:left w:val="nil"/>
              <w:bottom w:val="single" w:color="000000" w:sz="8" w:space="0"/>
              <w:right w:val="single" w:color="auto" w:sz="8"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eastAsia="zh-CN"/>
              </w:rPr>
              <w:t>区住建局</w:t>
            </w:r>
          </w:p>
        </w:tc>
        <w:tc>
          <w:tcPr>
            <w:tcW w:w="200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1台施工起重机械和整体提升脚手架、模板等自升式架设设施未向施工单位进行安全使用说明，办理移交手续的</w:t>
            </w:r>
          </w:p>
        </w:tc>
        <w:tc>
          <w:tcPr>
            <w:tcW w:w="6301"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建设工程安全生产管理条例》第六十一条：违反本条例的规定，施工起重机械和整体提升脚手架、模板等自升式架设设施安装、拆卸单位有下列行为之一的，责令限期改正，处5万元以上10万元以下的罚款；情节严重的，责令停业整顿，降低资质等级，直至吊销资质证书；造成损失的，依法承担赔偿责任： （四）未向施工单位进行安全使用说明，办理移交手续的。</w:t>
            </w:r>
          </w:p>
        </w:tc>
        <w:tc>
          <w:tcPr>
            <w:tcW w:w="952" w:type="dxa"/>
            <w:tcBorders>
              <w:top w:val="nil"/>
              <w:left w:val="nil"/>
              <w:bottom w:val="single" w:color="000000" w:sz="8" w:space="0"/>
              <w:right w:val="single" w:color="000000" w:sz="12" w:space="0"/>
            </w:tcBorders>
            <w:shd w:val="clear" w:color="auto" w:fill="auto"/>
            <w:tcMar>
              <w:top w:w="15" w:type="dxa"/>
              <w:left w:w="15" w:type="dxa"/>
              <w:bottom w:w="15" w:type="dxa"/>
              <w:right w:w="15" w:type="dxa"/>
            </w:tcMar>
            <w:vAlign w:val="center"/>
          </w:tcPr>
          <w:p>
            <w:pPr>
              <w:widowControl/>
              <w:jc w:val="center"/>
              <w:rPr>
                <w:rFonts w:hint="eastAsia" w:asciiTheme="minorEastAsia" w:hAnsiTheme="minorEastAsia" w:eastAsiaTheme="minorEastAsia" w:cstheme="minorEastAsia"/>
                <w:kern w:val="0"/>
                <w:sz w:val="21"/>
                <w:szCs w:val="21"/>
              </w:rPr>
            </w:pPr>
          </w:p>
        </w:tc>
      </w:tr>
      <w:tr>
        <w:tblPrEx>
          <w:tblCellMar>
            <w:top w:w="0" w:type="dxa"/>
            <w:left w:w="0" w:type="dxa"/>
            <w:bottom w:w="0" w:type="dxa"/>
            <w:right w:w="0" w:type="dxa"/>
          </w:tblCellMar>
        </w:tblPrEx>
        <w:trPr>
          <w:trHeight w:val="567" w:hRule="atLeast"/>
          <w:jc w:val="center"/>
        </w:trPr>
        <w:tc>
          <w:tcPr>
            <w:tcW w:w="1168" w:type="dxa"/>
            <w:tcBorders>
              <w:top w:val="nil"/>
              <w:left w:val="single" w:color="000000" w:sz="12" w:space="0"/>
              <w:bottom w:val="single" w:color="000000" w:sz="8" w:space="0"/>
              <w:right w:val="single" w:color="000000" w:sz="8" w:space="0"/>
            </w:tcBorders>
            <w:shd w:val="clear" w:color="auto" w:fill="auto"/>
            <w:tcMar>
              <w:top w:w="15" w:type="dxa"/>
              <w:left w:w="15" w:type="dxa"/>
              <w:bottom w:w="15" w:type="dxa"/>
              <w:right w:w="15" w:type="dxa"/>
            </w:tcMar>
            <w:vAlign w:val="center"/>
          </w:tcPr>
          <w:p>
            <w:pPr>
              <w:numPr>
                <w:ilvl w:val="0"/>
                <w:numId w:val="1"/>
              </w:numPr>
              <w:ind w:left="0" w:leftChars="0" w:firstLine="0" w:firstLineChars="0"/>
              <w:jc w:val="center"/>
              <w:rPr>
                <w:rFonts w:hint="eastAsia" w:ascii="宋体" w:hAnsi="宋体" w:eastAsia="宋体" w:cs="宋体"/>
                <w:lang w:val="en-US" w:eastAsia="zh-CN"/>
              </w:rPr>
            </w:pPr>
          </w:p>
        </w:tc>
        <w:tc>
          <w:tcPr>
            <w:tcW w:w="2881" w:type="dxa"/>
            <w:gridSpan w:val="3"/>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施工单位挪用列入建设工程概算的安全生产作业环境及安全施工措施所需费用</w:t>
            </w:r>
          </w:p>
        </w:tc>
        <w:tc>
          <w:tcPr>
            <w:tcW w:w="1104" w:type="dxa"/>
            <w:gridSpan w:val="2"/>
            <w:tcBorders>
              <w:top w:val="nil"/>
              <w:left w:val="nil"/>
              <w:bottom w:val="single" w:color="000000" w:sz="8" w:space="0"/>
              <w:right w:val="single" w:color="auto" w:sz="8"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eastAsia="zh-CN"/>
              </w:rPr>
              <w:t>区住建局</w:t>
            </w:r>
          </w:p>
        </w:tc>
        <w:tc>
          <w:tcPr>
            <w:tcW w:w="200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挪用费用占列入建设工程概算的安全生产作业环境及安全施工措施所需费用比例低于5%的</w:t>
            </w:r>
          </w:p>
        </w:tc>
        <w:tc>
          <w:tcPr>
            <w:tcW w:w="6301"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建设工程安全生产管理条例》第六十三条：违反本条例的规定，施工单位挪用列入建设工程概算的安全生产作业环境及安全施工措施所需费用的，责令限期改正，处挪用费用20%以上50%以下的罚款；造成损失的，依法承担赔偿责任。</w:t>
            </w:r>
          </w:p>
        </w:tc>
        <w:tc>
          <w:tcPr>
            <w:tcW w:w="952" w:type="dxa"/>
            <w:tcBorders>
              <w:top w:val="nil"/>
              <w:left w:val="nil"/>
              <w:bottom w:val="single" w:color="000000" w:sz="8" w:space="0"/>
              <w:right w:val="single" w:color="000000" w:sz="12" w:space="0"/>
            </w:tcBorders>
            <w:shd w:val="clear" w:color="auto" w:fill="auto"/>
            <w:tcMar>
              <w:top w:w="15" w:type="dxa"/>
              <w:left w:w="15" w:type="dxa"/>
              <w:bottom w:w="15" w:type="dxa"/>
              <w:right w:w="15" w:type="dxa"/>
            </w:tcMar>
            <w:vAlign w:val="center"/>
          </w:tcPr>
          <w:p>
            <w:pPr>
              <w:widowControl/>
              <w:jc w:val="center"/>
              <w:rPr>
                <w:rFonts w:hint="eastAsia" w:asciiTheme="minorEastAsia" w:hAnsiTheme="minorEastAsia" w:eastAsiaTheme="minorEastAsia" w:cstheme="minorEastAsia"/>
                <w:kern w:val="0"/>
                <w:sz w:val="21"/>
                <w:szCs w:val="21"/>
              </w:rPr>
            </w:pPr>
          </w:p>
        </w:tc>
      </w:tr>
      <w:tr>
        <w:tblPrEx>
          <w:tblCellMar>
            <w:top w:w="0" w:type="dxa"/>
            <w:left w:w="0" w:type="dxa"/>
            <w:bottom w:w="0" w:type="dxa"/>
            <w:right w:w="0" w:type="dxa"/>
          </w:tblCellMar>
        </w:tblPrEx>
        <w:trPr>
          <w:trHeight w:val="567" w:hRule="atLeast"/>
          <w:jc w:val="center"/>
        </w:trPr>
        <w:tc>
          <w:tcPr>
            <w:tcW w:w="1168" w:type="dxa"/>
            <w:tcBorders>
              <w:top w:val="nil"/>
              <w:left w:val="single" w:color="000000" w:sz="12" w:space="0"/>
              <w:bottom w:val="single" w:color="000000" w:sz="8" w:space="0"/>
              <w:right w:val="single" w:color="000000" w:sz="8" w:space="0"/>
            </w:tcBorders>
            <w:shd w:val="clear" w:color="auto" w:fill="auto"/>
            <w:tcMar>
              <w:top w:w="15" w:type="dxa"/>
              <w:left w:w="15" w:type="dxa"/>
              <w:bottom w:w="15" w:type="dxa"/>
              <w:right w:w="15" w:type="dxa"/>
            </w:tcMar>
            <w:vAlign w:val="center"/>
          </w:tcPr>
          <w:p>
            <w:pPr>
              <w:numPr>
                <w:ilvl w:val="0"/>
                <w:numId w:val="1"/>
              </w:numPr>
              <w:ind w:left="0" w:leftChars="0" w:firstLine="0" w:firstLineChars="0"/>
              <w:jc w:val="center"/>
              <w:rPr>
                <w:rFonts w:hint="eastAsia" w:ascii="宋体" w:hAnsi="宋体" w:eastAsia="宋体" w:cs="宋体"/>
                <w:lang w:val="en-US" w:eastAsia="zh-CN"/>
              </w:rPr>
            </w:pPr>
          </w:p>
        </w:tc>
        <w:tc>
          <w:tcPr>
            <w:tcW w:w="2881" w:type="dxa"/>
            <w:gridSpan w:val="3"/>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施工单位施工前未对有关安全施工的技术要求作出详细说明且逾期未改正的</w:t>
            </w:r>
          </w:p>
        </w:tc>
        <w:tc>
          <w:tcPr>
            <w:tcW w:w="1104" w:type="dxa"/>
            <w:gridSpan w:val="2"/>
            <w:tcBorders>
              <w:top w:val="nil"/>
              <w:left w:val="nil"/>
              <w:bottom w:val="single" w:color="000000" w:sz="8" w:space="0"/>
              <w:right w:val="single" w:color="auto" w:sz="8"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eastAsia="zh-CN"/>
              </w:rPr>
              <w:t>区住建局</w:t>
            </w:r>
          </w:p>
        </w:tc>
        <w:tc>
          <w:tcPr>
            <w:tcW w:w="200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不涉及危险性较大分部分项工程，且尚未造成生产安全事故的</w:t>
            </w:r>
          </w:p>
        </w:tc>
        <w:tc>
          <w:tcPr>
            <w:tcW w:w="6301"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建设工程安全生产管理条例》第六十四条：违反本条例的规定，施工单位有下列行为之一的，责令限期改正；逾期未改正的，责令停业整顿，并处5万元以上10万元以下的罚款；造成重大安全事故，构成犯罪的，对直接责任人员，依照刑法有关规定追究刑事责任：（一）施工前未对有关安全施工的技术要求作出详细说明的；</w:t>
            </w:r>
          </w:p>
        </w:tc>
        <w:tc>
          <w:tcPr>
            <w:tcW w:w="952" w:type="dxa"/>
            <w:tcBorders>
              <w:top w:val="nil"/>
              <w:left w:val="nil"/>
              <w:bottom w:val="single" w:color="000000" w:sz="8" w:space="0"/>
              <w:right w:val="single" w:color="000000" w:sz="12" w:space="0"/>
            </w:tcBorders>
            <w:shd w:val="clear" w:color="auto" w:fill="auto"/>
            <w:tcMar>
              <w:top w:w="15" w:type="dxa"/>
              <w:left w:w="15" w:type="dxa"/>
              <w:bottom w:w="15" w:type="dxa"/>
              <w:right w:w="15" w:type="dxa"/>
            </w:tcMar>
            <w:vAlign w:val="center"/>
          </w:tcPr>
          <w:p>
            <w:pPr>
              <w:widowControl/>
              <w:jc w:val="center"/>
              <w:rPr>
                <w:rFonts w:hint="eastAsia" w:asciiTheme="minorEastAsia" w:hAnsiTheme="minorEastAsia" w:eastAsiaTheme="minorEastAsia" w:cstheme="minorEastAsia"/>
                <w:kern w:val="0"/>
                <w:sz w:val="21"/>
                <w:szCs w:val="21"/>
              </w:rPr>
            </w:pPr>
          </w:p>
        </w:tc>
      </w:tr>
      <w:tr>
        <w:tblPrEx>
          <w:tblCellMar>
            <w:top w:w="0" w:type="dxa"/>
            <w:left w:w="0" w:type="dxa"/>
            <w:bottom w:w="0" w:type="dxa"/>
            <w:right w:w="0" w:type="dxa"/>
          </w:tblCellMar>
        </w:tblPrEx>
        <w:trPr>
          <w:trHeight w:val="567" w:hRule="atLeast"/>
          <w:jc w:val="center"/>
        </w:trPr>
        <w:tc>
          <w:tcPr>
            <w:tcW w:w="1168" w:type="dxa"/>
            <w:tcBorders>
              <w:top w:val="nil"/>
              <w:left w:val="single" w:color="000000" w:sz="12" w:space="0"/>
              <w:bottom w:val="single" w:color="000000" w:sz="8" w:space="0"/>
              <w:right w:val="single" w:color="000000" w:sz="8" w:space="0"/>
            </w:tcBorders>
            <w:shd w:val="clear" w:color="auto" w:fill="auto"/>
            <w:tcMar>
              <w:top w:w="15" w:type="dxa"/>
              <w:left w:w="15" w:type="dxa"/>
              <w:bottom w:w="15" w:type="dxa"/>
              <w:right w:w="15" w:type="dxa"/>
            </w:tcMar>
            <w:vAlign w:val="center"/>
          </w:tcPr>
          <w:p>
            <w:pPr>
              <w:numPr>
                <w:ilvl w:val="0"/>
                <w:numId w:val="1"/>
              </w:numPr>
              <w:ind w:left="0" w:leftChars="0" w:firstLine="0" w:firstLineChars="0"/>
              <w:jc w:val="center"/>
              <w:rPr>
                <w:rFonts w:hint="eastAsia" w:ascii="宋体" w:hAnsi="宋体" w:eastAsia="宋体" w:cs="宋体"/>
                <w:lang w:val="en-US" w:eastAsia="zh-CN"/>
              </w:rPr>
            </w:pPr>
          </w:p>
        </w:tc>
        <w:tc>
          <w:tcPr>
            <w:tcW w:w="2881" w:type="dxa"/>
            <w:gridSpan w:val="3"/>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施工单位未根据不同施工阶段和周围环境及季节、气候的变化，在施工现场采取相应的安全施工措施，或者在城市市区内的建设工程的施工现场未实行封闭围挡且逾期未改正的</w:t>
            </w:r>
          </w:p>
        </w:tc>
        <w:tc>
          <w:tcPr>
            <w:tcW w:w="1104" w:type="dxa"/>
            <w:gridSpan w:val="2"/>
            <w:tcBorders>
              <w:top w:val="nil"/>
              <w:left w:val="nil"/>
              <w:bottom w:val="single" w:color="000000" w:sz="8" w:space="0"/>
              <w:right w:val="single" w:color="auto" w:sz="8"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eastAsia="zh-CN"/>
              </w:rPr>
              <w:t>区住建局</w:t>
            </w:r>
          </w:p>
        </w:tc>
        <w:tc>
          <w:tcPr>
            <w:tcW w:w="200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有整改但整改不到位的</w:t>
            </w:r>
          </w:p>
        </w:tc>
        <w:tc>
          <w:tcPr>
            <w:tcW w:w="6301"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建设工程安全生产管理条例》第六十四条：违反本条例的规定，施工单位有下列行为之一的，责令限期改正；逾期未改正的，责令停业整顿，并处5万元以上10万元以下的罚款；造成重大安全事故，构成犯罪的，对直接责任人员，依照刑法有关规定追究刑事责任：</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（二）未根据不同施工阶段和周围环境及季节、气候的变化，在施工现场采取相应的安全施工措施，或者在城市市区内的建设工程的施工现场未实行封闭围挡的；</w:t>
            </w:r>
          </w:p>
        </w:tc>
        <w:tc>
          <w:tcPr>
            <w:tcW w:w="952" w:type="dxa"/>
            <w:tcBorders>
              <w:top w:val="nil"/>
              <w:left w:val="nil"/>
              <w:bottom w:val="single" w:color="000000" w:sz="8" w:space="0"/>
              <w:right w:val="single" w:color="000000" w:sz="12" w:space="0"/>
            </w:tcBorders>
            <w:shd w:val="clear" w:color="auto" w:fill="auto"/>
            <w:tcMar>
              <w:top w:w="15" w:type="dxa"/>
              <w:left w:w="15" w:type="dxa"/>
              <w:bottom w:w="15" w:type="dxa"/>
              <w:right w:w="15" w:type="dxa"/>
            </w:tcMar>
            <w:vAlign w:val="center"/>
          </w:tcPr>
          <w:p>
            <w:pPr>
              <w:widowControl/>
              <w:jc w:val="center"/>
              <w:rPr>
                <w:rFonts w:hint="eastAsia" w:asciiTheme="minorEastAsia" w:hAnsiTheme="minorEastAsia" w:eastAsiaTheme="minorEastAsia" w:cstheme="minorEastAsia"/>
                <w:kern w:val="0"/>
                <w:sz w:val="21"/>
                <w:szCs w:val="21"/>
              </w:rPr>
            </w:pPr>
          </w:p>
        </w:tc>
      </w:tr>
      <w:tr>
        <w:tblPrEx>
          <w:tblCellMar>
            <w:top w:w="0" w:type="dxa"/>
            <w:left w:w="0" w:type="dxa"/>
            <w:bottom w:w="0" w:type="dxa"/>
            <w:right w:w="0" w:type="dxa"/>
          </w:tblCellMar>
        </w:tblPrEx>
        <w:trPr>
          <w:trHeight w:val="567" w:hRule="atLeast"/>
          <w:jc w:val="center"/>
        </w:trPr>
        <w:tc>
          <w:tcPr>
            <w:tcW w:w="1168" w:type="dxa"/>
            <w:tcBorders>
              <w:top w:val="nil"/>
              <w:left w:val="single" w:color="000000" w:sz="12" w:space="0"/>
              <w:bottom w:val="single" w:color="000000" w:sz="8" w:space="0"/>
              <w:right w:val="single" w:color="000000" w:sz="8" w:space="0"/>
            </w:tcBorders>
            <w:shd w:val="clear" w:color="auto" w:fill="auto"/>
            <w:tcMar>
              <w:top w:w="15" w:type="dxa"/>
              <w:left w:w="15" w:type="dxa"/>
              <w:bottom w:w="15" w:type="dxa"/>
              <w:right w:w="15" w:type="dxa"/>
            </w:tcMar>
            <w:vAlign w:val="center"/>
          </w:tcPr>
          <w:p>
            <w:pPr>
              <w:numPr>
                <w:ilvl w:val="0"/>
                <w:numId w:val="1"/>
              </w:numPr>
              <w:ind w:left="0" w:leftChars="0" w:firstLine="0" w:firstLineChars="0"/>
              <w:jc w:val="center"/>
              <w:rPr>
                <w:rFonts w:hint="eastAsia" w:ascii="宋体" w:hAnsi="宋体" w:eastAsia="宋体" w:cs="宋体"/>
                <w:lang w:val="en-US" w:eastAsia="zh-CN"/>
              </w:rPr>
            </w:pPr>
          </w:p>
        </w:tc>
        <w:tc>
          <w:tcPr>
            <w:tcW w:w="2881" w:type="dxa"/>
            <w:gridSpan w:val="3"/>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施工单位在尚未竣工的建筑物内设置员工集体宿舍且逾期未改正的</w:t>
            </w:r>
          </w:p>
        </w:tc>
        <w:tc>
          <w:tcPr>
            <w:tcW w:w="1104" w:type="dxa"/>
            <w:gridSpan w:val="2"/>
            <w:tcBorders>
              <w:top w:val="nil"/>
              <w:left w:val="nil"/>
              <w:bottom w:val="single" w:color="000000" w:sz="8" w:space="0"/>
              <w:right w:val="single" w:color="auto" w:sz="8"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eastAsia="zh-CN"/>
              </w:rPr>
              <w:t>区住建局</w:t>
            </w:r>
          </w:p>
        </w:tc>
        <w:tc>
          <w:tcPr>
            <w:tcW w:w="200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员工宿舍住宿人数3人以下的</w:t>
            </w:r>
          </w:p>
        </w:tc>
        <w:tc>
          <w:tcPr>
            <w:tcW w:w="6301"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建设工程安全生产管理条例》第六十四条：违反本条例的规定，施工单位有下列行为之一的，责令限期改正；逾期未改正的，责令停业整顿，并处5万元以上10万元以下的罚款；造成重大安全事故，构成犯罪的，对直接责任人员，依照刑法有关规定追究刑事责任：（三）在尚未竣工的建筑物内设置员工集体宿舍的；</w:t>
            </w:r>
          </w:p>
        </w:tc>
        <w:tc>
          <w:tcPr>
            <w:tcW w:w="952" w:type="dxa"/>
            <w:tcBorders>
              <w:top w:val="nil"/>
              <w:left w:val="nil"/>
              <w:bottom w:val="single" w:color="000000" w:sz="8" w:space="0"/>
              <w:right w:val="single" w:color="000000" w:sz="12" w:space="0"/>
            </w:tcBorders>
            <w:shd w:val="clear" w:color="auto" w:fill="auto"/>
            <w:tcMar>
              <w:top w:w="15" w:type="dxa"/>
              <w:left w:w="15" w:type="dxa"/>
              <w:bottom w:w="15" w:type="dxa"/>
              <w:right w:w="15" w:type="dxa"/>
            </w:tcMar>
            <w:vAlign w:val="center"/>
          </w:tcPr>
          <w:p>
            <w:pPr>
              <w:widowControl/>
              <w:jc w:val="center"/>
              <w:rPr>
                <w:rFonts w:hint="eastAsia" w:asciiTheme="minorEastAsia" w:hAnsiTheme="minorEastAsia" w:eastAsiaTheme="minorEastAsia" w:cstheme="minorEastAsia"/>
                <w:kern w:val="0"/>
                <w:sz w:val="21"/>
                <w:szCs w:val="21"/>
              </w:rPr>
            </w:pPr>
          </w:p>
        </w:tc>
      </w:tr>
      <w:tr>
        <w:tblPrEx>
          <w:tblCellMar>
            <w:top w:w="0" w:type="dxa"/>
            <w:left w:w="0" w:type="dxa"/>
            <w:bottom w:w="0" w:type="dxa"/>
            <w:right w:w="0" w:type="dxa"/>
          </w:tblCellMar>
        </w:tblPrEx>
        <w:trPr>
          <w:trHeight w:val="567" w:hRule="atLeast"/>
          <w:jc w:val="center"/>
        </w:trPr>
        <w:tc>
          <w:tcPr>
            <w:tcW w:w="1168" w:type="dxa"/>
            <w:tcBorders>
              <w:top w:val="nil"/>
              <w:left w:val="single" w:color="000000" w:sz="12" w:space="0"/>
              <w:bottom w:val="single" w:color="000000" w:sz="8" w:space="0"/>
              <w:right w:val="single" w:color="000000" w:sz="8" w:space="0"/>
            </w:tcBorders>
            <w:shd w:val="clear" w:color="auto" w:fill="auto"/>
            <w:tcMar>
              <w:top w:w="15" w:type="dxa"/>
              <w:left w:w="15" w:type="dxa"/>
              <w:bottom w:w="15" w:type="dxa"/>
              <w:right w:w="15" w:type="dxa"/>
            </w:tcMar>
            <w:vAlign w:val="center"/>
          </w:tcPr>
          <w:p>
            <w:pPr>
              <w:numPr>
                <w:ilvl w:val="0"/>
                <w:numId w:val="1"/>
              </w:numPr>
              <w:ind w:left="0" w:leftChars="0" w:firstLine="0" w:firstLineChars="0"/>
              <w:jc w:val="center"/>
              <w:rPr>
                <w:rFonts w:hint="eastAsia" w:ascii="宋体" w:hAnsi="宋体" w:eastAsia="宋体" w:cs="宋体"/>
                <w:lang w:val="en-US" w:eastAsia="zh-CN"/>
              </w:rPr>
            </w:pPr>
          </w:p>
        </w:tc>
        <w:tc>
          <w:tcPr>
            <w:tcW w:w="2881" w:type="dxa"/>
            <w:gridSpan w:val="3"/>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施工现场临时搭建的建筑物不符合安全使用要求且逾期未改正的</w:t>
            </w:r>
          </w:p>
        </w:tc>
        <w:tc>
          <w:tcPr>
            <w:tcW w:w="1104" w:type="dxa"/>
            <w:gridSpan w:val="2"/>
            <w:tcBorders>
              <w:top w:val="nil"/>
              <w:left w:val="nil"/>
              <w:bottom w:val="single" w:color="000000" w:sz="8" w:space="0"/>
              <w:right w:val="single" w:color="auto" w:sz="8"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eastAsia="zh-CN"/>
              </w:rPr>
              <w:t>区住建局</w:t>
            </w:r>
          </w:p>
        </w:tc>
        <w:tc>
          <w:tcPr>
            <w:tcW w:w="200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有整改但整改不到位的</w:t>
            </w:r>
          </w:p>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p>
        </w:tc>
        <w:tc>
          <w:tcPr>
            <w:tcW w:w="6301"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建设工程安全生产管理条例》第六十四条：违反本条例的规定，施工单位有下列行为之一的，责令限期改正；逾期未改正的，责令停业整顿，并处5万元以上10万元以下的罚款；造成重大安全事故，构成犯罪的，对直接责任人员，依照刑法有关规定追究刑事责任：</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（四）施工现场临时搭建的建筑物不符合安全使用要求的；</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施工单位有前款规定第（四）项、第（五）项行为，造成损失的，依法承担赔偿责任。</w:t>
            </w:r>
          </w:p>
        </w:tc>
        <w:tc>
          <w:tcPr>
            <w:tcW w:w="952" w:type="dxa"/>
            <w:tcBorders>
              <w:top w:val="nil"/>
              <w:left w:val="nil"/>
              <w:bottom w:val="single" w:color="000000" w:sz="8" w:space="0"/>
              <w:right w:val="single" w:color="000000" w:sz="12" w:space="0"/>
            </w:tcBorders>
            <w:shd w:val="clear" w:color="auto" w:fill="auto"/>
            <w:tcMar>
              <w:top w:w="15" w:type="dxa"/>
              <w:left w:w="15" w:type="dxa"/>
              <w:bottom w:w="15" w:type="dxa"/>
              <w:right w:w="15" w:type="dxa"/>
            </w:tcMar>
            <w:vAlign w:val="center"/>
          </w:tcPr>
          <w:p>
            <w:pPr>
              <w:widowControl/>
              <w:jc w:val="center"/>
              <w:rPr>
                <w:rFonts w:hint="eastAsia" w:asciiTheme="minorEastAsia" w:hAnsiTheme="minorEastAsia" w:eastAsiaTheme="minorEastAsia" w:cstheme="minorEastAsia"/>
                <w:kern w:val="0"/>
                <w:sz w:val="21"/>
                <w:szCs w:val="21"/>
              </w:rPr>
            </w:pPr>
          </w:p>
        </w:tc>
      </w:tr>
      <w:tr>
        <w:tblPrEx>
          <w:tblCellMar>
            <w:top w:w="0" w:type="dxa"/>
            <w:left w:w="0" w:type="dxa"/>
            <w:bottom w:w="0" w:type="dxa"/>
            <w:right w:w="0" w:type="dxa"/>
          </w:tblCellMar>
        </w:tblPrEx>
        <w:trPr>
          <w:trHeight w:val="567" w:hRule="atLeast"/>
          <w:jc w:val="center"/>
        </w:trPr>
        <w:tc>
          <w:tcPr>
            <w:tcW w:w="1168" w:type="dxa"/>
            <w:tcBorders>
              <w:top w:val="nil"/>
              <w:left w:val="single" w:color="000000" w:sz="12" w:space="0"/>
              <w:bottom w:val="single" w:color="000000" w:sz="8" w:space="0"/>
              <w:right w:val="single" w:color="000000" w:sz="8" w:space="0"/>
            </w:tcBorders>
            <w:shd w:val="clear" w:color="auto" w:fill="auto"/>
            <w:tcMar>
              <w:top w:w="15" w:type="dxa"/>
              <w:left w:w="15" w:type="dxa"/>
              <w:bottom w:w="15" w:type="dxa"/>
              <w:right w:w="15" w:type="dxa"/>
            </w:tcMar>
            <w:vAlign w:val="center"/>
          </w:tcPr>
          <w:p>
            <w:pPr>
              <w:numPr>
                <w:ilvl w:val="0"/>
                <w:numId w:val="1"/>
              </w:numPr>
              <w:ind w:left="0" w:leftChars="0" w:firstLine="0" w:firstLineChars="0"/>
              <w:jc w:val="center"/>
              <w:rPr>
                <w:rFonts w:hint="eastAsia" w:ascii="宋体" w:hAnsi="宋体" w:eastAsia="宋体" w:cs="宋体"/>
                <w:lang w:val="en-US" w:eastAsia="zh-CN"/>
              </w:rPr>
            </w:pPr>
          </w:p>
        </w:tc>
        <w:tc>
          <w:tcPr>
            <w:tcW w:w="2881" w:type="dxa"/>
            <w:gridSpan w:val="3"/>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施工单位未对因建设工程施工可能造成损害的毗邻建筑物、构筑物和地下管线等采取专项防护措施且逾期未改正的</w:t>
            </w:r>
          </w:p>
        </w:tc>
        <w:tc>
          <w:tcPr>
            <w:tcW w:w="1104" w:type="dxa"/>
            <w:gridSpan w:val="2"/>
            <w:tcBorders>
              <w:top w:val="nil"/>
              <w:left w:val="nil"/>
              <w:bottom w:val="single" w:color="000000" w:sz="8" w:space="0"/>
              <w:right w:val="single" w:color="auto" w:sz="8"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eastAsia="zh-CN"/>
              </w:rPr>
              <w:t>区住建局</w:t>
            </w:r>
          </w:p>
        </w:tc>
        <w:tc>
          <w:tcPr>
            <w:tcW w:w="200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有整改但整改不到位的</w:t>
            </w:r>
          </w:p>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p>
        </w:tc>
        <w:tc>
          <w:tcPr>
            <w:tcW w:w="6301"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建设工程安全生产管理条例》第六十四条：违反本条例的规定，施工单位有下列行为之一的，责令限期改正；逾期未改正的，责令停业整顿，并处5万元以上10万元以下的罚款；造成重大安全事故，构成犯罪的，对直接责任人员，依照刑法有关规定追究刑事责任：</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（五）未对因建设工程施工可能造成损害的毗邻建筑物、构筑物和地下管线等采取专项防护措施的。施工单位有前款规定第（四）项、第（五）项行为，造成损失的，依法承担赔偿责任。</w:t>
            </w:r>
          </w:p>
        </w:tc>
        <w:tc>
          <w:tcPr>
            <w:tcW w:w="952" w:type="dxa"/>
            <w:tcBorders>
              <w:top w:val="nil"/>
              <w:left w:val="nil"/>
              <w:bottom w:val="single" w:color="000000" w:sz="8" w:space="0"/>
              <w:right w:val="single" w:color="000000" w:sz="12" w:space="0"/>
            </w:tcBorders>
            <w:shd w:val="clear" w:color="auto" w:fill="auto"/>
            <w:tcMar>
              <w:top w:w="15" w:type="dxa"/>
              <w:left w:w="15" w:type="dxa"/>
              <w:bottom w:w="15" w:type="dxa"/>
              <w:right w:w="15" w:type="dxa"/>
            </w:tcMar>
            <w:vAlign w:val="center"/>
          </w:tcPr>
          <w:p>
            <w:pPr>
              <w:widowControl/>
              <w:jc w:val="center"/>
              <w:rPr>
                <w:rFonts w:hint="eastAsia" w:asciiTheme="minorEastAsia" w:hAnsiTheme="minorEastAsia" w:eastAsiaTheme="minorEastAsia" w:cstheme="minorEastAsia"/>
                <w:kern w:val="0"/>
                <w:sz w:val="21"/>
                <w:szCs w:val="21"/>
              </w:rPr>
            </w:pPr>
          </w:p>
        </w:tc>
      </w:tr>
      <w:tr>
        <w:tblPrEx>
          <w:tblCellMar>
            <w:top w:w="0" w:type="dxa"/>
            <w:left w:w="0" w:type="dxa"/>
            <w:bottom w:w="0" w:type="dxa"/>
            <w:right w:w="0" w:type="dxa"/>
          </w:tblCellMar>
        </w:tblPrEx>
        <w:trPr>
          <w:trHeight w:val="567" w:hRule="atLeast"/>
          <w:jc w:val="center"/>
        </w:trPr>
        <w:tc>
          <w:tcPr>
            <w:tcW w:w="1168" w:type="dxa"/>
            <w:tcBorders>
              <w:top w:val="nil"/>
              <w:left w:val="single" w:color="000000" w:sz="12" w:space="0"/>
              <w:bottom w:val="single" w:color="000000" w:sz="8" w:space="0"/>
              <w:right w:val="single" w:color="000000" w:sz="8" w:space="0"/>
            </w:tcBorders>
            <w:shd w:val="clear" w:color="auto" w:fill="auto"/>
            <w:tcMar>
              <w:top w:w="15" w:type="dxa"/>
              <w:left w:w="15" w:type="dxa"/>
              <w:bottom w:w="15" w:type="dxa"/>
              <w:right w:w="15" w:type="dxa"/>
            </w:tcMar>
            <w:vAlign w:val="center"/>
          </w:tcPr>
          <w:p>
            <w:pPr>
              <w:numPr>
                <w:ilvl w:val="0"/>
                <w:numId w:val="1"/>
              </w:numPr>
              <w:ind w:left="0" w:leftChars="0" w:firstLine="0" w:firstLineChars="0"/>
              <w:jc w:val="center"/>
              <w:rPr>
                <w:rFonts w:hint="eastAsia" w:ascii="宋体" w:hAnsi="宋体" w:eastAsia="宋体" w:cs="宋体"/>
                <w:lang w:val="en-US" w:eastAsia="zh-CN"/>
              </w:rPr>
            </w:pPr>
          </w:p>
        </w:tc>
        <w:tc>
          <w:tcPr>
            <w:tcW w:w="2881" w:type="dxa"/>
            <w:gridSpan w:val="3"/>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施工单位安全防护用具、机械设备、施工机具及配件在进入施工现场前未经查验或者查验不合格即投入使用且逾期未改正的</w:t>
            </w:r>
          </w:p>
        </w:tc>
        <w:tc>
          <w:tcPr>
            <w:tcW w:w="1104" w:type="dxa"/>
            <w:gridSpan w:val="2"/>
            <w:tcBorders>
              <w:top w:val="nil"/>
              <w:left w:val="nil"/>
              <w:bottom w:val="single" w:color="000000" w:sz="8" w:space="0"/>
              <w:right w:val="single" w:color="auto" w:sz="8"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eastAsia="zh-CN"/>
              </w:rPr>
              <w:t>区住建局</w:t>
            </w:r>
          </w:p>
        </w:tc>
        <w:tc>
          <w:tcPr>
            <w:tcW w:w="200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未经查验的</w:t>
            </w:r>
          </w:p>
        </w:tc>
        <w:tc>
          <w:tcPr>
            <w:tcW w:w="6301"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建设工程安全生产管理条例》第六十五条：违反本条例的规定，施工单位有下列行为之一的，责令限期改正；逾期未改正的，责令停业整顿，并处10万元以上30万元以下的罚款；情节严重的，降低资质等级，直至吊销资质证书；造成重大安全事故，构成犯罪的，对直接责任人员，依照刑法有关规定追究刑事责任；造成损失的，依法承担赔偿责任：（一）安全防护用具、机械设备、施工机具及配件在进入施工现场前未经查验或者查验不合格即投入使用的；</w:t>
            </w:r>
          </w:p>
        </w:tc>
        <w:tc>
          <w:tcPr>
            <w:tcW w:w="952" w:type="dxa"/>
            <w:tcBorders>
              <w:top w:val="nil"/>
              <w:left w:val="nil"/>
              <w:bottom w:val="single" w:color="000000" w:sz="8" w:space="0"/>
              <w:right w:val="single" w:color="000000" w:sz="12" w:space="0"/>
            </w:tcBorders>
            <w:shd w:val="clear" w:color="auto" w:fill="auto"/>
            <w:tcMar>
              <w:top w:w="15" w:type="dxa"/>
              <w:left w:w="15" w:type="dxa"/>
              <w:bottom w:w="15" w:type="dxa"/>
              <w:right w:w="15" w:type="dxa"/>
            </w:tcMar>
            <w:vAlign w:val="center"/>
          </w:tcPr>
          <w:p>
            <w:pPr>
              <w:widowControl/>
              <w:jc w:val="center"/>
              <w:rPr>
                <w:rFonts w:hint="eastAsia" w:asciiTheme="minorEastAsia" w:hAnsiTheme="minorEastAsia" w:eastAsiaTheme="minorEastAsia" w:cstheme="minorEastAsia"/>
                <w:kern w:val="0"/>
                <w:sz w:val="21"/>
                <w:szCs w:val="21"/>
              </w:rPr>
            </w:pPr>
          </w:p>
        </w:tc>
      </w:tr>
      <w:tr>
        <w:tblPrEx>
          <w:tblCellMar>
            <w:top w:w="0" w:type="dxa"/>
            <w:left w:w="0" w:type="dxa"/>
            <w:bottom w:w="0" w:type="dxa"/>
            <w:right w:w="0" w:type="dxa"/>
          </w:tblCellMar>
        </w:tblPrEx>
        <w:trPr>
          <w:trHeight w:val="567" w:hRule="atLeast"/>
          <w:jc w:val="center"/>
        </w:trPr>
        <w:tc>
          <w:tcPr>
            <w:tcW w:w="1168" w:type="dxa"/>
            <w:tcBorders>
              <w:top w:val="nil"/>
              <w:left w:val="single" w:color="000000" w:sz="12" w:space="0"/>
              <w:bottom w:val="single" w:color="000000" w:sz="8" w:space="0"/>
              <w:right w:val="single" w:color="000000" w:sz="8" w:space="0"/>
            </w:tcBorders>
            <w:shd w:val="clear" w:color="auto" w:fill="auto"/>
            <w:tcMar>
              <w:top w:w="15" w:type="dxa"/>
              <w:left w:w="15" w:type="dxa"/>
              <w:bottom w:w="15" w:type="dxa"/>
              <w:right w:w="15" w:type="dxa"/>
            </w:tcMar>
            <w:vAlign w:val="center"/>
          </w:tcPr>
          <w:p>
            <w:pPr>
              <w:numPr>
                <w:ilvl w:val="0"/>
                <w:numId w:val="1"/>
              </w:numPr>
              <w:ind w:left="0" w:leftChars="0" w:firstLine="0" w:firstLineChars="0"/>
              <w:jc w:val="center"/>
              <w:rPr>
                <w:rFonts w:hint="eastAsia" w:ascii="宋体" w:hAnsi="宋体" w:eastAsia="宋体" w:cs="宋体"/>
                <w:lang w:val="en-US" w:eastAsia="zh-CN"/>
              </w:rPr>
            </w:pPr>
          </w:p>
        </w:tc>
        <w:tc>
          <w:tcPr>
            <w:tcW w:w="2881" w:type="dxa"/>
            <w:gridSpan w:val="3"/>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施工单位使用未经验收或者验收不合格的施工起重机械和整体提升脚手架、模板等自升式架设设施且逾期未改正的</w:t>
            </w:r>
          </w:p>
        </w:tc>
        <w:tc>
          <w:tcPr>
            <w:tcW w:w="1104" w:type="dxa"/>
            <w:gridSpan w:val="2"/>
            <w:tcBorders>
              <w:top w:val="nil"/>
              <w:left w:val="nil"/>
              <w:bottom w:val="single" w:color="000000" w:sz="8" w:space="0"/>
              <w:right w:val="single" w:color="auto" w:sz="8"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eastAsia="zh-CN"/>
              </w:rPr>
              <w:t>区住建局</w:t>
            </w:r>
          </w:p>
        </w:tc>
        <w:tc>
          <w:tcPr>
            <w:tcW w:w="200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使用未经验收的施工起重机械和整体提升脚手架、模板等自升式架设设施</w:t>
            </w:r>
          </w:p>
        </w:tc>
        <w:tc>
          <w:tcPr>
            <w:tcW w:w="6301"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建设工程安全生产管理条例》第六十五条：违反本条例的规定，施工单位有下列行为之一的，责令限期改正；逾期未改正的，责令停业整顿，并处10万元以上30万元以下的罚款；情节严重的，降低资质等级，直至吊销资质证书；造成重大安全事故，构成犯罪的，对直接责任人员，依照刑法有关规定追究刑事责任；造成损失的，依法承担赔偿责任：</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（二）使用未经验收或者验收不合格的施工起重机械和整体提升脚手架、模板等自升式架设设施的；</w:t>
            </w:r>
          </w:p>
        </w:tc>
        <w:tc>
          <w:tcPr>
            <w:tcW w:w="952" w:type="dxa"/>
            <w:tcBorders>
              <w:top w:val="nil"/>
              <w:left w:val="nil"/>
              <w:bottom w:val="single" w:color="000000" w:sz="8" w:space="0"/>
              <w:right w:val="single" w:color="000000" w:sz="12" w:space="0"/>
            </w:tcBorders>
            <w:shd w:val="clear" w:color="auto" w:fill="auto"/>
            <w:tcMar>
              <w:top w:w="15" w:type="dxa"/>
              <w:left w:w="15" w:type="dxa"/>
              <w:bottom w:w="15" w:type="dxa"/>
              <w:right w:w="15" w:type="dxa"/>
            </w:tcMar>
            <w:vAlign w:val="center"/>
          </w:tcPr>
          <w:p>
            <w:pPr>
              <w:widowControl/>
              <w:jc w:val="center"/>
              <w:rPr>
                <w:rFonts w:hint="eastAsia" w:asciiTheme="minorEastAsia" w:hAnsiTheme="minorEastAsia" w:eastAsiaTheme="minorEastAsia" w:cstheme="minorEastAsia"/>
                <w:kern w:val="0"/>
                <w:sz w:val="21"/>
                <w:szCs w:val="21"/>
              </w:rPr>
            </w:pPr>
          </w:p>
        </w:tc>
      </w:tr>
      <w:tr>
        <w:tblPrEx>
          <w:tblCellMar>
            <w:top w:w="0" w:type="dxa"/>
            <w:left w:w="0" w:type="dxa"/>
            <w:bottom w:w="0" w:type="dxa"/>
            <w:right w:w="0" w:type="dxa"/>
          </w:tblCellMar>
        </w:tblPrEx>
        <w:trPr>
          <w:trHeight w:val="567" w:hRule="atLeast"/>
          <w:jc w:val="center"/>
        </w:trPr>
        <w:tc>
          <w:tcPr>
            <w:tcW w:w="1168" w:type="dxa"/>
            <w:tcBorders>
              <w:top w:val="nil"/>
              <w:left w:val="single" w:color="000000" w:sz="12" w:space="0"/>
              <w:bottom w:val="single" w:color="000000" w:sz="8" w:space="0"/>
              <w:right w:val="single" w:color="000000" w:sz="8" w:space="0"/>
            </w:tcBorders>
            <w:shd w:val="clear" w:color="auto" w:fill="auto"/>
            <w:tcMar>
              <w:top w:w="15" w:type="dxa"/>
              <w:left w:w="15" w:type="dxa"/>
              <w:bottom w:w="15" w:type="dxa"/>
              <w:right w:w="15" w:type="dxa"/>
            </w:tcMar>
            <w:vAlign w:val="center"/>
          </w:tcPr>
          <w:p>
            <w:pPr>
              <w:numPr>
                <w:ilvl w:val="0"/>
                <w:numId w:val="1"/>
              </w:numPr>
              <w:ind w:left="0" w:leftChars="0" w:firstLine="0" w:firstLineChars="0"/>
              <w:jc w:val="center"/>
              <w:rPr>
                <w:rFonts w:hint="eastAsia" w:ascii="宋体" w:hAnsi="宋体" w:eastAsia="宋体" w:cs="宋体"/>
                <w:lang w:val="en-US" w:eastAsia="zh-CN"/>
              </w:rPr>
            </w:pPr>
          </w:p>
        </w:tc>
        <w:tc>
          <w:tcPr>
            <w:tcW w:w="2881" w:type="dxa"/>
            <w:gridSpan w:val="3"/>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施工单位委托不具有相应资质的单位承担施工现场安装、拆卸施工起重机械和整体提升脚手架、模板等自升式架设设施且逾期未改正的</w:t>
            </w:r>
          </w:p>
        </w:tc>
        <w:tc>
          <w:tcPr>
            <w:tcW w:w="1104" w:type="dxa"/>
            <w:gridSpan w:val="2"/>
            <w:tcBorders>
              <w:top w:val="nil"/>
              <w:left w:val="nil"/>
              <w:bottom w:val="single" w:color="000000" w:sz="8" w:space="0"/>
              <w:right w:val="single" w:color="auto" w:sz="8"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eastAsia="zh-CN"/>
              </w:rPr>
              <w:t>区住建局</w:t>
            </w:r>
          </w:p>
        </w:tc>
        <w:tc>
          <w:tcPr>
            <w:tcW w:w="200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及时纠正，未造成严重后果</w:t>
            </w:r>
          </w:p>
        </w:tc>
        <w:tc>
          <w:tcPr>
            <w:tcW w:w="6301"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建设工程安全生产管理条例》第六十五条：违反本条例的规定，施工单位有下列行为之一的，责令限期改正；逾期未改正的，责令停业整顿，并处10万元以上30万元以下的罚款；情节严重的，降低资质等级，直至吊销资质证书；造成重大安全事故，构成犯罪的，对直接责任人员，依照刑法有关规定追究刑事责任；造成损失的，依法承担赔偿责任：（三）委托不具有相应资质的单位承担施工现场安装、拆卸施工起重机械和整体提升脚手架、模板等自升式架设设施的；</w:t>
            </w:r>
          </w:p>
        </w:tc>
        <w:tc>
          <w:tcPr>
            <w:tcW w:w="952" w:type="dxa"/>
            <w:tcBorders>
              <w:top w:val="nil"/>
              <w:left w:val="nil"/>
              <w:bottom w:val="single" w:color="000000" w:sz="8" w:space="0"/>
              <w:right w:val="single" w:color="000000" w:sz="12" w:space="0"/>
            </w:tcBorders>
            <w:shd w:val="clear" w:color="auto" w:fill="auto"/>
            <w:tcMar>
              <w:top w:w="15" w:type="dxa"/>
              <w:left w:w="15" w:type="dxa"/>
              <w:bottom w:w="15" w:type="dxa"/>
              <w:right w:w="15" w:type="dxa"/>
            </w:tcMar>
            <w:vAlign w:val="center"/>
          </w:tcPr>
          <w:p>
            <w:pPr>
              <w:widowControl/>
              <w:jc w:val="center"/>
              <w:rPr>
                <w:rFonts w:hint="eastAsia" w:asciiTheme="minorEastAsia" w:hAnsiTheme="minorEastAsia" w:eastAsiaTheme="minorEastAsia" w:cstheme="minorEastAsia"/>
                <w:kern w:val="0"/>
                <w:sz w:val="21"/>
                <w:szCs w:val="21"/>
              </w:rPr>
            </w:pPr>
          </w:p>
        </w:tc>
      </w:tr>
      <w:tr>
        <w:tblPrEx>
          <w:tblCellMar>
            <w:top w:w="0" w:type="dxa"/>
            <w:left w:w="0" w:type="dxa"/>
            <w:bottom w:w="0" w:type="dxa"/>
            <w:right w:w="0" w:type="dxa"/>
          </w:tblCellMar>
        </w:tblPrEx>
        <w:trPr>
          <w:trHeight w:val="567" w:hRule="atLeast"/>
          <w:jc w:val="center"/>
        </w:trPr>
        <w:tc>
          <w:tcPr>
            <w:tcW w:w="1168" w:type="dxa"/>
            <w:tcBorders>
              <w:top w:val="nil"/>
              <w:left w:val="single" w:color="000000" w:sz="12" w:space="0"/>
              <w:bottom w:val="single" w:color="000000" w:sz="8" w:space="0"/>
              <w:right w:val="single" w:color="000000" w:sz="8" w:space="0"/>
            </w:tcBorders>
            <w:shd w:val="clear" w:color="auto" w:fill="auto"/>
            <w:tcMar>
              <w:top w:w="15" w:type="dxa"/>
              <w:left w:w="15" w:type="dxa"/>
              <w:bottom w:w="15" w:type="dxa"/>
              <w:right w:w="15" w:type="dxa"/>
            </w:tcMar>
            <w:vAlign w:val="center"/>
          </w:tcPr>
          <w:p>
            <w:pPr>
              <w:numPr>
                <w:ilvl w:val="0"/>
                <w:numId w:val="1"/>
              </w:numPr>
              <w:ind w:left="0" w:leftChars="0" w:firstLine="0" w:firstLineChars="0"/>
              <w:jc w:val="center"/>
              <w:rPr>
                <w:rFonts w:hint="eastAsia" w:ascii="宋体" w:hAnsi="宋体" w:eastAsia="宋体" w:cs="宋体"/>
                <w:lang w:val="en-US" w:eastAsia="zh-CN"/>
              </w:rPr>
            </w:pPr>
          </w:p>
        </w:tc>
        <w:tc>
          <w:tcPr>
            <w:tcW w:w="2881" w:type="dxa"/>
            <w:gridSpan w:val="3"/>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施工单位在施工组织设计中未编制安全技术措施、施工现场临时用电方案或者专项施工方案且逾期未改正的</w:t>
            </w:r>
          </w:p>
        </w:tc>
        <w:tc>
          <w:tcPr>
            <w:tcW w:w="1104" w:type="dxa"/>
            <w:gridSpan w:val="2"/>
            <w:tcBorders>
              <w:top w:val="nil"/>
              <w:left w:val="nil"/>
              <w:bottom w:val="single" w:color="000000" w:sz="8" w:space="0"/>
              <w:right w:val="single" w:color="auto" w:sz="8"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eastAsia="zh-CN"/>
              </w:rPr>
              <w:t>区住建局</w:t>
            </w:r>
          </w:p>
        </w:tc>
        <w:tc>
          <w:tcPr>
            <w:tcW w:w="200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未涉及危险性较大分部分项工程，或虽涉及危险性较大分部分项工程，但尚未超过规定规模</w:t>
            </w:r>
          </w:p>
        </w:tc>
        <w:tc>
          <w:tcPr>
            <w:tcW w:w="6301"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建设工程安全生产管理条例》第六十五条：违反本条例的规定，施工单位有下列行为之一的，责令限期改正；逾期未改正的，责令停业整顿，并处10万元以上30万元以下的罚款；情节严重的，降低资质等级，直至吊销资质证书；造成重大安全事故，构成犯罪的，对直接责任人员，依照刑法有关规定追究刑事责任；造成损失的，依法承担赔偿责任：（四）在施工组织设计中未编制安全技术措施、施工现场临时用电方案或者专项施工方案的。</w:t>
            </w:r>
          </w:p>
        </w:tc>
        <w:tc>
          <w:tcPr>
            <w:tcW w:w="952" w:type="dxa"/>
            <w:tcBorders>
              <w:top w:val="nil"/>
              <w:left w:val="nil"/>
              <w:bottom w:val="single" w:color="000000" w:sz="8" w:space="0"/>
              <w:right w:val="single" w:color="000000" w:sz="12" w:space="0"/>
            </w:tcBorders>
            <w:shd w:val="clear" w:color="auto" w:fill="auto"/>
            <w:tcMar>
              <w:top w:w="15" w:type="dxa"/>
              <w:left w:w="15" w:type="dxa"/>
              <w:bottom w:w="15" w:type="dxa"/>
              <w:right w:w="15" w:type="dxa"/>
            </w:tcMar>
            <w:vAlign w:val="center"/>
          </w:tcPr>
          <w:p>
            <w:pPr>
              <w:widowControl/>
              <w:jc w:val="center"/>
              <w:rPr>
                <w:rFonts w:hint="eastAsia" w:asciiTheme="minorEastAsia" w:hAnsiTheme="minorEastAsia" w:eastAsiaTheme="minorEastAsia" w:cstheme="minorEastAsia"/>
                <w:kern w:val="0"/>
                <w:sz w:val="21"/>
                <w:szCs w:val="21"/>
              </w:rPr>
            </w:pPr>
          </w:p>
        </w:tc>
      </w:tr>
      <w:tr>
        <w:tblPrEx>
          <w:tblCellMar>
            <w:top w:w="0" w:type="dxa"/>
            <w:left w:w="0" w:type="dxa"/>
            <w:bottom w:w="0" w:type="dxa"/>
            <w:right w:w="0" w:type="dxa"/>
          </w:tblCellMar>
        </w:tblPrEx>
        <w:trPr>
          <w:trHeight w:val="567" w:hRule="atLeast"/>
          <w:jc w:val="center"/>
        </w:trPr>
        <w:tc>
          <w:tcPr>
            <w:tcW w:w="1168" w:type="dxa"/>
            <w:tcBorders>
              <w:top w:val="nil"/>
              <w:left w:val="single" w:color="000000" w:sz="12" w:space="0"/>
              <w:bottom w:val="single" w:color="000000" w:sz="8" w:space="0"/>
              <w:right w:val="single" w:color="000000" w:sz="8" w:space="0"/>
            </w:tcBorders>
            <w:shd w:val="clear" w:color="auto" w:fill="auto"/>
            <w:tcMar>
              <w:top w:w="15" w:type="dxa"/>
              <w:left w:w="15" w:type="dxa"/>
              <w:bottom w:w="15" w:type="dxa"/>
              <w:right w:w="15" w:type="dxa"/>
            </w:tcMar>
            <w:vAlign w:val="center"/>
          </w:tcPr>
          <w:p>
            <w:pPr>
              <w:numPr>
                <w:ilvl w:val="0"/>
                <w:numId w:val="1"/>
              </w:numPr>
              <w:ind w:left="0" w:leftChars="0" w:firstLine="0" w:firstLineChars="0"/>
              <w:jc w:val="center"/>
              <w:rPr>
                <w:rFonts w:hint="eastAsia" w:ascii="宋体" w:hAnsi="宋体" w:eastAsia="宋体" w:cs="宋体"/>
                <w:lang w:val="en-US" w:eastAsia="zh-CN"/>
              </w:rPr>
            </w:pPr>
          </w:p>
        </w:tc>
        <w:tc>
          <w:tcPr>
            <w:tcW w:w="2881" w:type="dxa"/>
            <w:gridSpan w:val="3"/>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施工单位的主要负责人、项目负责人未履行安全生产管理职责，尚不够刑事处罚的</w:t>
            </w:r>
          </w:p>
        </w:tc>
        <w:tc>
          <w:tcPr>
            <w:tcW w:w="1104" w:type="dxa"/>
            <w:gridSpan w:val="2"/>
            <w:tcBorders>
              <w:top w:val="nil"/>
              <w:left w:val="nil"/>
              <w:bottom w:val="single" w:color="000000" w:sz="8" w:space="0"/>
              <w:right w:val="single" w:color="auto" w:sz="8"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eastAsia="zh-CN"/>
              </w:rPr>
              <w:t>区住建局</w:t>
            </w:r>
          </w:p>
        </w:tc>
        <w:tc>
          <w:tcPr>
            <w:tcW w:w="200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未造成危害后果或造成轻微危害后果</w:t>
            </w:r>
          </w:p>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p>
        </w:tc>
        <w:tc>
          <w:tcPr>
            <w:tcW w:w="6301"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建设工程安全生产管理条例》第六十六条：违反本条例的规定，施工单位的主要负责人、项目负责人未履行安全生产管理职责的，责令限期改正；逾期未改正的，责令施工单位停业整顿；造成重大安全事故、重大伤亡事故或者其他严重后果，构成犯罪的，依照刑法有关规定追究刑事责任。作业人员不服管理、违反规章制度和操作规程冒险作业造成重大伤亡事故或者其他严重后果，构成犯罪的，依照刑法有关规定追究刑事责任。施工单位的主要负责人、项目负责人有前款违法行为，尚不够刑事处罚的，处2万元以上20万元以下的罚款或者按照管理权限给予撤职处分；自刑罚执行完毕或者受处分之日起，5年内不得担任任何施工单位的主要负责人、项目负责人。</w:t>
            </w:r>
          </w:p>
        </w:tc>
        <w:tc>
          <w:tcPr>
            <w:tcW w:w="952" w:type="dxa"/>
            <w:tcBorders>
              <w:top w:val="nil"/>
              <w:left w:val="nil"/>
              <w:bottom w:val="single" w:color="000000" w:sz="8" w:space="0"/>
              <w:right w:val="single" w:color="000000" w:sz="12" w:space="0"/>
            </w:tcBorders>
            <w:shd w:val="clear" w:color="auto" w:fill="auto"/>
            <w:tcMar>
              <w:top w:w="15" w:type="dxa"/>
              <w:left w:w="15" w:type="dxa"/>
              <w:bottom w:w="15" w:type="dxa"/>
              <w:right w:w="15" w:type="dxa"/>
            </w:tcMar>
            <w:vAlign w:val="center"/>
          </w:tcPr>
          <w:p>
            <w:pPr>
              <w:widowControl/>
              <w:jc w:val="center"/>
              <w:rPr>
                <w:rFonts w:hint="eastAsia" w:asciiTheme="minorEastAsia" w:hAnsiTheme="minorEastAsia" w:eastAsiaTheme="minorEastAsia" w:cstheme="minorEastAsia"/>
                <w:kern w:val="0"/>
                <w:sz w:val="21"/>
                <w:szCs w:val="21"/>
              </w:rPr>
            </w:pPr>
          </w:p>
        </w:tc>
      </w:tr>
      <w:tr>
        <w:tblPrEx>
          <w:tblCellMar>
            <w:top w:w="0" w:type="dxa"/>
            <w:left w:w="0" w:type="dxa"/>
            <w:bottom w:w="0" w:type="dxa"/>
            <w:right w:w="0" w:type="dxa"/>
          </w:tblCellMar>
        </w:tblPrEx>
        <w:trPr>
          <w:trHeight w:val="567" w:hRule="atLeast"/>
          <w:jc w:val="center"/>
        </w:trPr>
        <w:tc>
          <w:tcPr>
            <w:tcW w:w="1168" w:type="dxa"/>
            <w:tcBorders>
              <w:top w:val="nil"/>
              <w:left w:val="single" w:color="000000" w:sz="12" w:space="0"/>
              <w:bottom w:val="single" w:color="000000" w:sz="8" w:space="0"/>
              <w:right w:val="single" w:color="000000" w:sz="8" w:space="0"/>
            </w:tcBorders>
            <w:shd w:val="clear" w:color="auto" w:fill="auto"/>
            <w:tcMar>
              <w:top w:w="15" w:type="dxa"/>
              <w:left w:w="15" w:type="dxa"/>
              <w:bottom w:w="15" w:type="dxa"/>
              <w:right w:w="15" w:type="dxa"/>
            </w:tcMar>
            <w:vAlign w:val="center"/>
          </w:tcPr>
          <w:p>
            <w:pPr>
              <w:numPr>
                <w:ilvl w:val="0"/>
                <w:numId w:val="1"/>
              </w:numPr>
              <w:ind w:left="0" w:leftChars="0" w:firstLine="0" w:firstLineChars="0"/>
              <w:jc w:val="center"/>
              <w:rPr>
                <w:rFonts w:hint="eastAsia" w:ascii="宋体" w:hAnsi="宋体" w:eastAsia="宋体" w:cs="宋体"/>
                <w:lang w:val="en-US" w:eastAsia="zh-CN"/>
              </w:rPr>
            </w:pPr>
          </w:p>
        </w:tc>
        <w:tc>
          <w:tcPr>
            <w:tcW w:w="2881" w:type="dxa"/>
            <w:gridSpan w:val="3"/>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建设单位将建设工程发包给不具有相应资质等级的施工单位</w:t>
            </w:r>
          </w:p>
        </w:tc>
        <w:tc>
          <w:tcPr>
            <w:tcW w:w="1104" w:type="dxa"/>
            <w:gridSpan w:val="2"/>
            <w:tcBorders>
              <w:top w:val="nil"/>
              <w:left w:val="nil"/>
              <w:bottom w:val="single" w:color="000000" w:sz="8" w:space="0"/>
              <w:right w:val="single" w:color="auto" w:sz="8"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eastAsia="zh-CN"/>
              </w:rPr>
              <w:t>区住建局</w:t>
            </w:r>
          </w:p>
        </w:tc>
        <w:tc>
          <w:tcPr>
            <w:tcW w:w="200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未造成质量、安全事故，主动消除违法行为危害后果的</w:t>
            </w:r>
          </w:p>
        </w:tc>
        <w:tc>
          <w:tcPr>
            <w:tcW w:w="6301"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建设工程质量管理条例》第五十四条：违反本条例规定，建设单位将建设工程发包给不具有相应资质等级的勘察、设计、施工单位或者委托给不具有相应资质等级的工程监理单位的，责令改正，处50万元以上100万元以下的罚款。</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 xml:space="preserve"> 第七十三条　依照本条例规定，给予单位罚款处罚的，对单位直接负责的主管人员和其他直接责任人员处单位罚款数额百分之五以上百分之十以下的罚款。</w:t>
            </w:r>
          </w:p>
        </w:tc>
        <w:tc>
          <w:tcPr>
            <w:tcW w:w="952" w:type="dxa"/>
            <w:tcBorders>
              <w:top w:val="nil"/>
              <w:left w:val="nil"/>
              <w:bottom w:val="single" w:color="000000" w:sz="8" w:space="0"/>
              <w:right w:val="single" w:color="000000" w:sz="12" w:space="0"/>
            </w:tcBorders>
            <w:shd w:val="clear" w:color="auto" w:fill="auto"/>
            <w:tcMar>
              <w:top w:w="15" w:type="dxa"/>
              <w:left w:w="15" w:type="dxa"/>
              <w:bottom w:w="15" w:type="dxa"/>
              <w:right w:w="15" w:type="dxa"/>
            </w:tcMar>
            <w:vAlign w:val="center"/>
          </w:tcPr>
          <w:p>
            <w:pPr>
              <w:widowControl/>
              <w:jc w:val="center"/>
              <w:rPr>
                <w:rFonts w:hint="eastAsia" w:asciiTheme="minorEastAsia" w:hAnsiTheme="minorEastAsia" w:eastAsiaTheme="minorEastAsia" w:cstheme="minorEastAsia"/>
                <w:kern w:val="0"/>
                <w:sz w:val="21"/>
                <w:szCs w:val="21"/>
              </w:rPr>
            </w:pPr>
          </w:p>
        </w:tc>
      </w:tr>
      <w:tr>
        <w:tblPrEx>
          <w:tblCellMar>
            <w:top w:w="0" w:type="dxa"/>
            <w:left w:w="0" w:type="dxa"/>
            <w:bottom w:w="0" w:type="dxa"/>
            <w:right w:w="0" w:type="dxa"/>
          </w:tblCellMar>
        </w:tblPrEx>
        <w:trPr>
          <w:trHeight w:val="567" w:hRule="atLeast"/>
          <w:jc w:val="center"/>
        </w:trPr>
        <w:tc>
          <w:tcPr>
            <w:tcW w:w="1168" w:type="dxa"/>
            <w:tcBorders>
              <w:top w:val="nil"/>
              <w:left w:val="single" w:color="000000" w:sz="12" w:space="0"/>
              <w:bottom w:val="single" w:color="000000" w:sz="8" w:space="0"/>
              <w:right w:val="single" w:color="000000" w:sz="8" w:space="0"/>
            </w:tcBorders>
            <w:shd w:val="clear" w:color="auto" w:fill="auto"/>
            <w:tcMar>
              <w:top w:w="15" w:type="dxa"/>
              <w:left w:w="15" w:type="dxa"/>
              <w:bottom w:w="15" w:type="dxa"/>
              <w:right w:w="15" w:type="dxa"/>
            </w:tcMar>
            <w:vAlign w:val="center"/>
          </w:tcPr>
          <w:p>
            <w:pPr>
              <w:numPr>
                <w:ilvl w:val="0"/>
                <w:numId w:val="1"/>
              </w:numPr>
              <w:ind w:left="0" w:leftChars="0" w:firstLine="0" w:firstLineChars="0"/>
              <w:jc w:val="center"/>
              <w:rPr>
                <w:rFonts w:hint="eastAsia" w:ascii="宋体" w:hAnsi="宋体" w:eastAsia="宋体" w:cs="宋体"/>
                <w:lang w:val="en-US" w:eastAsia="zh-CN"/>
              </w:rPr>
            </w:pPr>
          </w:p>
        </w:tc>
        <w:tc>
          <w:tcPr>
            <w:tcW w:w="2881" w:type="dxa"/>
            <w:gridSpan w:val="3"/>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建设单位将建设工程肢解发包</w:t>
            </w:r>
          </w:p>
        </w:tc>
        <w:tc>
          <w:tcPr>
            <w:tcW w:w="1104" w:type="dxa"/>
            <w:gridSpan w:val="2"/>
            <w:tcBorders>
              <w:top w:val="nil"/>
              <w:left w:val="nil"/>
              <w:bottom w:val="single" w:color="000000" w:sz="8" w:space="0"/>
              <w:right w:val="single" w:color="auto" w:sz="8"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eastAsia="zh-CN"/>
              </w:rPr>
              <w:t>区住建局</w:t>
            </w:r>
          </w:p>
        </w:tc>
        <w:tc>
          <w:tcPr>
            <w:tcW w:w="200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及时纠正，未造成严重后果</w:t>
            </w:r>
          </w:p>
        </w:tc>
        <w:tc>
          <w:tcPr>
            <w:tcW w:w="6301"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建设工程质量管理条例》第五十五条：违反本条例规定，建设单位将建设工程肢解发包的，责令改正，处工程合同价款0.5%以上1%以下的罚款；对全部或者部分使用国有资金的项目，并可以暂停项目执行或者暂停资金拨付。</w:t>
            </w:r>
          </w:p>
        </w:tc>
        <w:tc>
          <w:tcPr>
            <w:tcW w:w="952" w:type="dxa"/>
            <w:tcBorders>
              <w:top w:val="nil"/>
              <w:left w:val="nil"/>
              <w:bottom w:val="single" w:color="000000" w:sz="8" w:space="0"/>
              <w:right w:val="single" w:color="000000" w:sz="12" w:space="0"/>
            </w:tcBorders>
            <w:shd w:val="clear" w:color="auto" w:fill="auto"/>
            <w:tcMar>
              <w:top w:w="15" w:type="dxa"/>
              <w:left w:w="15" w:type="dxa"/>
              <w:bottom w:w="15" w:type="dxa"/>
              <w:right w:w="15" w:type="dxa"/>
            </w:tcMar>
            <w:vAlign w:val="center"/>
          </w:tcPr>
          <w:p>
            <w:pPr>
              <w:widowControl/>
              <w:jc w:val="center"/>
              <w:rPr>
                <w:rFonts w:hint="eastAsia" w:asciiTheme="minorEastAsia" w:hAnsiTheme="minorEastAsia" w:eastAsiaTheme="minorEastAsia" w:cstheme="minorEastAsia"/>
                <w:kern w:val="0"/>
                <w:sz w:val="21"/>
                <w:szCs w:val="21"/>
              </w:rPr>
            </w:pPr>
          </w:p>
        </w:tc>
      </w:tr>
      <w:tr>
        <w:tblPrEx>
          <w:tblCellMar>
            <w:top w:w="0" w:type="dxa"/>
            <w:left w:w="0" w:type="dxa"/>
            <w:bottom w:w="0" w:type="dxa"/>
            <w:right w:w="0" w:type="dxa"/>
          </w:tblCellMar>
        </w:tblPrEx>
        <w:trPr>
          <w:trHeight w:val="567" w:hRule="atLeast"/>
          <w:jc w:val="center"/>
        </w:trPr>
        <w:tc>
          <w:tcPr>
            <w:tcW w:w="1168" w:type="dxa"/>
            <w:tcBorders>
              <w:top w:val="nil"/>
              <w:left w:val="single" w:color="000000" w:sz="12" w:space="0"/>
              <w:bottom w:val="single" w:color="000000" w:sz="8" w:space="0"/>
              <w:right w:val="single" w:color="000000" w:sz="8" w:space="0"/>
            </w:tcBorders>
            <w:shd w:val="clear" w:color="auto" w:fill="auto"/>
            <w:tcMar>
              <w:top w:w="15" w:type="dxa"/>
              <w:left w:w="15" w:type="dxa"/>
              <w:bottom w:w="15" w:type="dxa"/>
              <w:right w:w="15" w:type="dxa"/>
            </w:tcMar>
            <w:vAlign w:val="center"/>
          </w:tcPr>
          <w:p>
            <w:pPr>
              <w:numPr>
                <w:ilvl w:val="0"/>
                <w:numId w:val="1"/>
              </w:numPr>
              <w:ind w:left="0" w:leftChars="0" w:firstLine="0" w:firstLineChars="0"/>
              <w:jc w:val="center"/>
              <w:rPr>
                <w:rFonts w:hint="eastAsia" w:ascii="宋体" w:hAnsi="宋体" w:eastAsia="宋体" w:cs="宋体"/>
                <w:lang w:val="en-US" w:eastAsia="zh-CN"/>
              </w:rPr>
            </w:pPr>
          </w:p>
        </w:tc>
        <w:tc>
          <w:tcPr>
            <w:tcW w:w="2881" w:type="dxa"/>
            <w:gridSpan w:val="3"/>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建设单位迫使承包方以低于成本的价格竞标的；任意压缩合理工期的；明示或暗示设计单位或施工单位违反工程建设强制性标准，降低工程质量的；施工图设计文件未经审查或者审查不合格，擅自施工的；建设项目必须实行工程监理而未实行工程监理的；未按国家规定办理工程质量监督手续的；明示或暗示施工单位使用不合格的建筑材料、建筑构配件和设备的；未按国家规定将竣工验收报告、有关认可文件或者准许使用文件报送备案的</w:t>
            </w:r>
          </w:p>
        </w:tc>
        <w:tc>
          <w:tcPr>
            <w:tcW w:w="1104" w:type="dxa"/>
            <w:gridSpan w:val="2"/>
            <w:tcBorders>
              <w:top w:val="nil"/>
              <w:left w:val="nil"/>
              <w:bottom w:val="single" w:color="000000" w:sz="8" w:space="0"/>
              <w:right w:val="single" w:color="auto" w:sz="8"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eastAsia="zh-CN"/>
              </w:rPr>
              <w:t>区住建局</w:t>
            </w:r>
          </w:p>
        </w:tc>
        <w:tc>
          <w:tcPr>
            <w:tcW w:w="200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初次违法，情节轻微的</w:t>
            </w:r>
          </w:p>
        </w:tc>
        <w:tc>
          <w:tcPr>
            <w:tcW w:w="6301"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建设工程质量管理条例》第五十六条：违反本条例规定，建设单位有下列行为之一的，责令改正，处20万元以上50万元以下的罚款：（一）迫使承包方以低于成本的价格竞标的；（二）任意压缩合理工期的；（三）明示或暗示设计单位或施工单位违反工程建设强制性标准，降低工程质量的；（四）施工图设计文件未经审查或者审查不合格，擅自施工的；（五）建设项目必须实行工程监理而未实行工程监理的；（六）未按国家规定办理工程质量监督手续的；（七）明示或暗示施工单位使用不合格的建筑材料、建筑构配件和设备的；（八）未按国家规定将竣工验收报告、有关认可文件或者准许使用文件报送备案的。</w:t>
            </w:r>
          </w:p>
        </w:tc>
        <w:tc>
          <w:tcPr>
            <w:tcW w:w="952" w:type="dxa"/>
            <w:tcBorders>
              <w:top w:val="nil"/>
              <w:left w:val="nil"/>
              <w:bottom w:val="single" w:color="000000" w:sz="8" w:space="0"/>
              <w:right w:val="single" w:color="000000" w:sz="12" w:space="0"/>
            </w:tcBorders>
            <w:shd w:val="clear" w:color="auto" w:fill="auto"/>
            <w:tcMar>
              <w:top w:w="15" w:type="dxa"/>
              <w:left w:w="15" w:type="dxa"/>
              <w:bottom w:w="15" w:type="dxa"/>
              <w:right w:w="15" w:type="dxa"/>
            </w:tcMar>
            <w:vAlign w:val="center"/>
          </w:tcPr>
          <w:p>
            <w:pPr>
              <w:widowControl/>
              <w:jc w:val="center"/>
              <w:rPr>
                <w:rFonts w:hint="eastAsia" w:asciiTheme="minorEastAsia" w:hAnsiTheme="minorEastAsia" w:eastAsiaTheme="minorEastAsia" w:cstheme="minorEastAsia"/>
                <w:kern w:val="0"/>
                <w:sz w:val="21"/>
                <w:szCs w:val="21"/>
              </w:rPr>
            </w:pPr>
          </w:p>
        </w:tc>
      </w:tr>
      <w:tr>
        <w:tblPrEx>
          <w:tblCellMar>
            <w:top w:w="0" w:type="dxa"/>
            <w:left w:w="0" w:type="dxa"/>
            <w:bottom w:w="0" w:type="dxa"/>
            <w:right w:w="0" w:type="dxa"/>
          </w:tblCellMar>
        </w:tblPrEx>
        <w:trPr>
          <w:trHeight w:val="567" w:hRule="atLeast"/>
          <w:jc w:val="center"/>
        </w:trPr>
        <w:tc>
          <w:tcPr>
            <w:tcW w:w="1168" w:type="dxa"/>
            <w:tcBorders>
              <w:top w:val="nil"/>
              <w:left w:val="single" w:color="000000" w:sz="12" w:space="0"/>
              <w:bottom w:val="single" w:color="000000" w:sz="8" w:space="0"/>
              <w:right w:val="single" w:color="000000" w:sz="8" w:space="0"/>
            </w:tcBorders>
            <w:shd w:val="clear" w:color="auto" w:fill="auto"/>
            <w:tcMar>
              <w:top w:w="15" w:type="dxa"/>
              <w:left w:w="15" w:type="dxa"/>
              <w:bottom w:w="15" w:type="dxa"/>
              <w:right w:w="15" w:type="dxa"/>
            </w:tcMar>
            <w:vAlign w:val="center"/>
          </w:tcPr>
          <w:p>
            <w:pPr>
              <w:numPr>
                <w:ilvl w:val="0"/>
                <w:numId w:val="1"/>
              </w:numPr>
              <w:ind w:left="0" w:leftChars="0" w:firstLine="0" w:firstLineChars="0"/>
              <w:jc w:val="center"/>
              <w:rPr>
                <w:rFonts w:hint="eastAsia" w:ascii="宋体" w:hAnsi="宋体" w:eastAsia="宋体" w:cs="宋体"/>
                <w:lang w:val="en-US" w:eastAsia="zh-CN"/>
              </w:rPr>
            </w:pPr>
          </w:p>
        </w:tc>
        <w:tc>
          <w:tcPr>
            <w:tcW w:w="2881" w:type="dxa"/>
            <w:gridSpan w:val="3"/>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建设单位未取得施工许可证或者开工报告未经批准，擅自施工</w:t>
            </w:r>
          </w:p>
        </w:tc>
        <w:tc>
          <w:tcPr>
            <w:tcW w:w="1104" w:type="dxa"/>
            <w:gridSpan w:val="2"/>
            <w:tcBorders>
              <w:top w:val="nil"/>
              <w:left w:val="nil"/>
              <w:bottom w:val="single" w:color="000000" w:sz="8" w:space="0"/>
              <w:right w:val="single" w:color="auto" w:sz="8"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eastAsia="zh-CN"/>
              </w:rPr>
              <w:t>区住建局</w:t>
            </w:r>
          </w:p>
        </w:tc>
        <w:tc>
          <w:tcPr>
            <w:tcW w:w="200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提前施工，但检查时已取得施工许可证，未造成质量、安全事故。</w:t>
            </w:r>
          </w:p>
        </w:tc>
        <w:tc>
          <w:tcPr>
            <w:tcW w:w="6301"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《建设工程质量管理条例》第五十七条：违反本条例规定，建设单位未取得施工许可证或者开工报告未经批准，擅自施工的，责令停止施工，限期改正，处工程合同价款1%以上2%以下的罚款。</w:t>
            </w:r>
          </w:p>
        </w:tc>
        <w:tc>
          <w:tcPr>
            <w:tcW w:w="952" w:type="dxa"/>
            <w:tcBorders>
              <w:top w:val="nil"/>
              <w:left w:val="nil"/>
              <w:bottom w:val="single" w:color="000000" w:sz="8" w:space="0"/>
              <w:right w:val="single" w:color="000000" w:sz="12" w:space="0"/>
            </w:tcBorders>
            <w:shd w:val="clear" w:color="auto" w:fill="auto"/>
            <w:tcMar>
              <w:top w:w="15" w:type="dxa"/>
              <w:left w:w="15" w:type="dxa"/>
              <w:bottom w:w="15" w:type="dxa"/>
              <w:right w:w="15" w:type="dxa"/>
            </w:tcMar>
            <w:vAlign w:val="center"/>
          </w:tcPr>
          <w:p>
            <w:pPr>
              <w:widowControl/>
              <w:jc w:val="center"/>
              <w:rPr>
                <w:rFonts w:hint="eastAsia" w:asciiTheme="minorEastAsia" w:hAnsiTheme="minorEastAsia" w:eastAsiaTheme="minorEastAsia" w:cstheme="minorEastAsia"/>
                <w:kern w:val="0"/>
                <w:sz w:val="21"/>
                <w:szCs w:val="21"/>
              </w:rPr>
            </w:pPr>
          </w:p>
        </w:tc>
      </w:tr>
      <w:tr>
        <w:tblPrEx>
          <w:tblCellMar>
            <w:top w:w="0" w:type="dxa"/>
            <w:left w:w="0" w:type="dxa"/>
            <w:bottom w:w="0" w:type="dxa"/>
            <w:right w:w="0" w:type="dxa"/>
          </w:tblCellMar>
        </w:tblPrEx>
        <w:trPr>
          <w:trHeight w:val="567" w:hRule="atLeast"/>
          <w:jc w:val="center"/>
        </w:trPr>
        <w:tc>
          <w:tcPr>
            <w:tcW w:w="1168" w:type="dxa"/>
            <w:tcBorders>
              <w:top w:val="nil"/>
              <w:left w:val="single" w:color="000000" w:sz="12" w:space="0"/>
              <w:bottom w:val="single" w:color="000000" w:sz="8" w:space="0"/>
              <w:right w:val="single" w:color="000000" w:sz="8" w:space="0"/>
            </w:tcBorders>
            <w:shd w:val="clear" w:color="auto" w:fill="auto"/>
            <w:tcMar>
              <w:top w:w="15" w:type="dxa"/>
              <w:left w:w="15" w:type="dxa"/>
              <w:bottom w:w="15" w:type="dxa"/>
              <w:right w:w="15" w:type="dxa"/>
            </w:tcMar>
            <w:vAlign w:val="center"/>
          </w:tcPr>
          <w:p>
            <w:pPr>
              <w:numPr>
                <w:ilvl w:val="0"/>
                <w:numId w:val="1"/>
              </w:numPr>
              <w:ind w:left="0" w:leftChars="0" w:firstLine="0" w:firstLineChars="0"/>
              <w:jc w:val="center"/>
              <w:rPr>
                <w:rFonts w:hint="eastAsia" w:ascii="宋体" w:hAnsi="宋体" w:eastAsia="宋体" w:cs="宋体"/>
                <w:lang w:val="en-US" w:eastAsia="zh-CN"/>
              </w:rPr>
            </w:pPr>
          </w:p>
        </w:tc>
        <w:tc>
          <w:tcPr>
            <w:tcW w:w="2881" w:type="dxa"/>
            <w:gridSpan w:val="3"/>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勘察、设计、施工、工程监理单位超越本单位资质等级承揽工程</w:t>
            </w:r>
          </w:p>
        </w:tc>
        <w:tc>
          <w:tcPr>
            <w:tcW w:w="1104" w:type="dxa"/>
            <w:gridSpan w:val="2"/>
            <w:tcBorders>
              <w:top w:val="nil"/>
              <w:left w:val="nil"/>
              <w:bottom w:val="single" w:color="000000" w:sz="8" w:space="0"/>
              <w:right w:val="single" w:color="auto" w:sz="8"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eastAsia="zh-CN"/>
              </w:rPr>
              <w:t>区住建局</w:t>
            </w:r>
          </w:p>
        </w:tc>
        <w:tc>
          <w:tcPr>
            <w:tcW w:w="200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超越一个资质等级的，未造成严重后果的。</w:t>
            </w:r>
          </w:p>
        </w:tc>
        <w:tc>
          <w:tcPr>
            <w:tcW w:w="6301"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建设工程质量管理条例》第六十条：违反本条例规定，勘察、设计、施工、工程监理单位超越本单位资质等级承揽工程的，责令停止违法行为，对勘察、设计单位或者工程监理单位处合同约定的勘察费、设计费或者监理酬金1倍以上2倍以下的罚款；对施工单位处工程合同价款2%以上4%以下的罚款，可以责令停业整顿，降低资质等级；情节严重的，吊销资质证书；有违法所得的，予以没收。</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未取得资质证书承揽工程的，予以取缔，依照前款规定处以罚款；有违法所得的，予以没收。</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以欺骗手段取得资质证书承揽工程的，吊销资质证书，依照本条第一款规定处以罚款；有违法所得的，予以没收。</w:t>
            </w:r>
          </w:p>
        </w:tc>
        <w:tc>
          <w:tcPr>
            <w:tcW w:w="952" w:type="dxa"/>
            <w:tcBorders>
              <w:top w:val="nil"/>
              <w:left w:val="nil"/>
              <w:bottom w:val="single" w:color="000000" w:sz="8" w:space="0"/>
              <w:right w:val="single" w:color="000000" w:sz="12" w:space="0"/>
            </w:tcBorders>
            <w:shd w:val="clear" w:color="auto" w:fill="auto"/>
            <w:tcMar>
              <w:top w:w="15" w:type="dxa"/>
              <w:left w:w="15" w:type="dxa"/>
              <w:bottom w:w="15" w:type="dxa"/>
              <w:right w:w="15" w:type="dxa"/>
            </w:tcMar>
            <w:vAlign w:val="center"/>
          </w:tcPr>
          <w:p>
            <w:pPr>
              <w:widowControl/>
              <w:jc w:val="center"/>
              <w:rPr>
                <w:rFonts w:hint="eastAsia" w:asciiTheme="minorEastAsia" w:hAnsiTheme="minorEastAsia" w:eastAsiaTheme="minorEastAsia" w:cstheme="minorEastAsia"/>
                <w:kern w:val="0"/>
                <w:sz w:val="21"/>
                <w:szCs w:val="21"/>
              </w:rPr>
            </w:pPr>
          </w:p>
        </w:tc>
      </w:tr>
      <w:tr>
        <w:tblPrEx>
          <w:tblCellMar>
            <w:top w:w="0" w:type="dxa"/>
            <w:left w:w="0" w:type="dxa"/>
            <w:bottom w:w="0" w:type="dxa"/>
            <w:right w:w="0" w:type="dxa"/>
          </w:tblCellMar>
        </w:tblPrEx>
        <w:trPr>
          <w:trHeight w:val="567" w:hRule="atLeast"/>
          <w:jc w:val="center"/>
        </w:trPr>
        <w:tc>
          <w:tcPr>
            <w:tcW w:w="1168" w:type="dxa"/>
            <w:tcBorders>
              <w:top w:val="nil"/>
              <w:left w:val="single" w:color="000000" w:sz="12" w:space="0"/>
              <w:bottom w:val="single" w:color="000000" w:sz="8" w:space="0"/>
              <w:right w:val="single" w:color="000000" w:sz="8" w:space="0"/>
            </w:tcBorders>
            <w:shd w:val="clear" w:color="auto" w:fill="auto"/>
            <w:tcMar>
              <w:top w:w="15" w:type="dxa"/>
              <w:left w:w="15" w:type="dxa"/>
              <w:bottom w:w="15" w:type="dxa"/>
              <w:right w:w="15" w:type="dxa"/>
            </w:tcMar>
            <w:vAlign w:val="center"/>
          </w:tcPr>
          <w:p>
            <w:pPr>
              <w:numPr>
                <w:ilvl w:val="0"/>
                <w:numId w:val="1"/>
              </w:numPr>
              <w:ind w:left="0" w:leftChars="0" w:firstLine="0" w:firstLineChars="0"/>
              <w:jc w:val="center"/>
              <w:rPr>
                <w:rFonts w:hint="eastAsia" w:ascii="宋体" w:hAnsi="宋体" w:eastAsia="宋体" w:cs="宋体"/>
                <w:lang w:val="en-US" w:eastAsia="zh-CN"/>
              </w:rPr>
            </w:pPr>
          </w:p>
        </w:tc>
        <w:tc>
          <w:tcPr>
            <w:tcW w:w="2881" w:type="dxa"/>
            <w:gridSpan w:val="3"/>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勘察、设计、施工、工程监理单位未取得资质证书承揽工程</w:t>
            </w:r>
          </w:p>
        </w:tc>
        <w:tc>
          <w:tcPr>
            <w:tcW w:w="1104" w:type="dxa"/>
            <w:gridSpan w:val="2"/>
            <w:tcBorders>
              <w:top w:val="nil"/>
              <w:left w:val="nil"/>
              <w:bottom w:val="single" w:color="000000" w:sz="8" w:space="0"/>
              <w:right w:val="single" w:color="auto" w:sz="8"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eastAsia="zh-CN"/>
              </w:rPr>
              <w:t>区住建局</w:t>
            </w:r>
          </w:p>
        </w:tc>
        <w:tc>
          <w:tcPr>
            <w:tcW w:w="200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未造成危害后果或造成轻微危害后果的</w:t>
            </w:r>
          </w:p>
        </w:tc>
        <w:tc>
          <w:tcPr>
            <w:tcW w:w="6301"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建设工程质量管理条例》第六十条：违反本条例规定，勘察、设计、施工、工程监理单位超越本单位资质等级承揽工程的，责令停止违法行为，对勘察、设计单位或者工程监理单位处合同约定的勘察费、设计费或者监理酬金1倍以上2倍以下的罚款；对施工单位处工程合同价款2%以上4%以下的罚款，可以责令停业整顿，降低资质等级；情节严重的，吊销资质证书；有违法所得的，予以没收。</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未取得资质证书承揽工程的，予以取缔，依照前款规定处以罚款；有违法所得的，予以没收。</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以欺骗手段取得资质证书承揽工程的，吊销资质证书，依照本条第一款规定处以罚款；有违法所得的，予以没收。</w:t>
            </w:r>
          </w:p>
        </w:tc>
        <w:tc>
          <w:tcPr>
            <w:tcW w:w="952" w:type="dxa"/>
            <w:tcBorders>
              <w:top w:val="nil"/>
              <w:left w:val="nil"/>
              <w:bottom w:val="single" w:color="000000" w:sz="8" w:space="0"/>
              <w:right w:val="single" w:color="000000" w:sz="12" w:space="0"/>
            </w:tcBorders>
            <w:shd w:val="clear" w:color="auto" w:fill="auto"/>
            <w:tcMar>
              <w:top w:w="15" w:type="dxa"/>
              <w:left w:w="15" w:type="dxa"/>
              <w:bottom w:w="15" w:type="dxa"/>
              <w:right w:w="15" w:type="dxa"/>
            </w:tcMar>
            <w:vAlign w:val="center"/>
          </w:tcPr>
          <w:p>
            <w:pPr>
              <w:widowControl/>
              <w:jc w:val="center"/>
              <w:rPr>
                <w:rFonts w:hint="eastAsia" w:asciiTheme="minorEastAsia" w:hAnsiTheme="minorEastAsia" w:eastAsiaTheme="minorEastAsia" w:cstheme="minorEastAsia"/>
                <w:kern w:val="0"/>
                <w:sz w:val="21"/>
                <w:szCs w:val="21"/>
              </w:rPr>
            </w:pPr>
          </w:p>
        </w:tc>
      </w:tr>
      <w:tr>
        <w:tblPrEx>
          <w:tblCellMar>
            <w:top w:w="0" w:type="dxa"/>
            <w:left w:w="0" w:type="dxa"/>
            <w:bottom w:w="0" w:type="dxa"/>
            <w:right w:w="0" w:type="dxa"/>
          </w:tblCellMar>
        </w:tblPrEx>
        <w:trPr>
          <w:trHeight w:val="567" w:hRule="atLeast"/>
          <w:jc w:val="center"/>
        </w:trPr>
        <w:tc>
          <w:tcPr>
            <w:tcW w:w="1168" w:type="dxa"/>
            <w:tcBorders>
              <w:top w:val="nil"/>
              <w:left w:val="single" w:color="000000" w:sz="12" w:space="0"/>
              <w:bottom w:val="single" w:color="000000" w:sz="8" w:space="0"/>
              <w:right w:val="single" w:color="000000" w:sz="8" w:space="0"/>
            </w:tcBorders>
            <w:shd w:val="clear" w:color="auto" w:fill="auto"/>
            <w:tcMar>
              <w:top w:w="15" w:type="dxa"/>
              <w:left w:w="15" w:type="dxa"/>
              <w:bottom w:w="15" w:type="dxa"/>
              <w:right w:w="15" w:type="dxa"/>
            </w:tcMar>
            <w:vAlign w:val="center"/>
          </w:tcPr>
          <w:p>
            <w:pPr>
              <w:numPr>
                <w:ilvl w:val="0"/>
                <w:numId w:val="1"/>
              </w:numPr>
              <w:ind w:left="0" w:leftChars="0" w:firstLine="0" w:firstLineChars="0"/>
              <w:jc w:val="center"/>
              <w:rPr>
                <w:rFonts w:hint="eastAsia" w:ascii="宋体" w:hAnsi="宋体" w:eastAsia="宋体" w:cs="宋体"/>
                <w:lang w:val="en-US" w:eastAsia="zh-CN"/>
              </w:rPr>
            </w:pPr>
          </w:p>
        </w:tc>
        <w:tc>
          <w:tcPr>
            <w:tcW w:w="2881" w:type="dxa"/>
            <w:gridSpan w:val="3"/>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勘察、设计、施工、工程监理单位以欺骗手段取得资质证书承揽工程</w:t>
            </w:r>
          </w:p>
        </w:tc>
        <w:tc>
          <w:tcPr>
            <w:tcW w:w="1104" w:type="dxa"/>
            <w:gridSpan w:val="2"/>
            <w:tcBorders>
              <w:top w:val="nil"/>
              <w:left w:val="nil"/>
              <w:bottom w:val="single" w:color="000000" w:sz="8" w:space="0"/>
              <w:right w:val="single" w:color="auto" w:sz="8"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eastAsia="zh-CN"/>
              </w:rPr>
              <w:t>区住建局</w:t>
            </w:r>
          </w:p>
        </w:tc>
        <w:tc>
          <w:tcPr>
            <w:tcW w:w="200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未造成危害后果或造成轻微危害后果的</w:t>
            </w:r>
          </w:p>
        </w:tc>
        <w:tc>
          <w:tcPr>
            <w:tcW w:w="6301"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建设工程质量管理条例》第六十条：违反本条例规定，勘察、设计、施工、工程监理单位超越本单位资质等级承揽工程的，责令停止违法行为，对勘察、设计单位或者工程监理单位处合同约定的勘察费、设计费或者监理酬金1倍以上2倍以下的罚款；对施工单位处工程合同价款2%以上4%以下的罚款，可以责令停业整顿，降低资质等级；情节严重的，吊销资质证书；有违法所得的，予以没收。</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未取得资质证书承揽工程的，予以取缔，依照前款规定处以罚款；有违法所得的，予以没收。</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以欺骗手段取得资质证书承揽工程的，吊销资质证书，依照本条第一款规定处以罚款；有违法所得的，予以没收。</w:t>
            </w:r>
          </w:p>
        </w:tc>
        <w:tc>
          <w:tcPr>
            <w:tcW w:w="952" w:type="dxa"/>
            <w:tcBorders>
              <w:top w:val="nil"/>
              <w:left w:val="nil"/>
              <w:bottom w:val="single" w:color="000000" w:sz="8" w:space="0"/>
              <w:right w:val="single" w:color="000000" w:sz="12" w:space="0"/>
            </w:tcBorders>
            <w:shd w:val="clear" w:color="auto" w:fill="auto"/>
            <w:tcMar>
              <w:top w:w="15" w:type="dxa"/>
              <w:left w:w="15" w:type="dxa"/>
              <w:bottom w:w="15" w:type="dxa"/>
              <w:right w:w="15" w:type="dxa"/>
            </w:tcMar>
            <w:vAlign w:val="center"/>
          </w:tcPr>
          <w:p>
            <w:pPr>
              <w:widowControl/>
              <w:jc w:val="center"/>
              <w:rPr>
                <w:rFonts w:hint="eastAsia" w:asciiTheme="minorEastAsia" w:hAnsiTheme="minorEastAsia" w:eastAsiaTheme="minorEastAsia" w:cstheme="minorEastAsia"/>
                <w:kern w:val="0"/>
                <w:sz w:val="21"/>
                <w:szCs w:val="21"/>
              </w:rPr>
            </w:pPr>
          </w:p>
        </w:tc>
      </w:tr>
      <w:tr>
        <w:tblPrEx>
          <w:tblCellMar>
            <w:top w:w="0" w:type="dxa"/>
            <w:left w:w="0" w:type="dxa"/>
            <w:bottom w:w="0" w:type="dxa"/>
            <w:right w:w="0" w:type="dxa"/>
          </w:tblCellMar>
        </w:tblPrEx>
        <w:trPr>
          <w:trHeight w:val="567" w:hRule="atLeast"/>
          <w:jc w:val="center"/>
        </w:trPr>
        <w:tc>
          <w:tcPr>
            <w:tcW w:w="1168" w:type="dxa"/>
            <w:tcBorders>
              <w:top w:val="nil"/>
              <w:left w:val="single" w:color="000000" w:sz="12" w:space="0"/>
              <w:bottom w:val="single" w:color="000000" w:sz="8" w:space="0"/>
              <w:right w:val="single" w:color="000000" w:sz="8" w:space="0"/>
            </w:tcBorders>
            <w:shd w:val="clear" w:color="auto" w:fill="auto"/>
            <w:tcMar>
              <w:top w:w="15" w:type="dxa"/>
              <w:left w:w="15" w:type="dxa"/>
              <w:bottom w:w="15" w:type="dxa"/>
              <w:right w:w="15" w:type="dxa"/>
            </w:tcMar>
            <w:vAlign w:val="center"/>
          </w:tcPr>
          <w:p>
            <w:pPr>
              <w:numPr>
                <w:ilvl w:val="0"/>
                <w:numId w:val="1"/>
              </w:numPr>
              <w:ind w:left="0" w:leftChars="0" w:firstLine="0" w:firstLineChars="0"/>
              <w:jc w:val="center"/>
              <w:rPr>
                <w:rFonts w:hint="eastAsia" w:ascii="宋体" w:hAnsi="宋体" w:eastAsia="宋体" w:cs="宋体"/>
                <w:lang w:val="en-US" w:eastAsia="zh-CN"/>
              </w:rPr>
            </w:pPr>
          </w:p>
        </w:tc>
        <w:tc>
          <w:tcPr>
            <w:tcW w:w="2881" w:type="dxa"/>
            <w:gridSpan w:val="3"/>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勘察、设计、施工、工程监理允许其他单位或者个人以本单位名义承揽工程</w:t>
            </w:r>
          </w:p>
        </w:tc>
        <w:tc>
          <w:tcPr>
            <w:tcW w:w="1104" w:type="dxa"/>
            <w:gridSpan w:val="2"/>
            <w:tcBorders>
              <w:top w:val="nil"/>
              <w:left w:val="nil"/>
              <w:bottom w:val="single" w:color="000000" w:sz="8" w:space="0"/>
              <w:right w:val="single" w:color="auto" w:sz="8"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eastAsia="zh-CN"/>
              </w:rPr>
              <w:t>区住建局</w:t>
            </w:r>
          </w:p>
        </w:tc>
        <w:tc>
          <w:tcPr>
            <w:tcW w:w="200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未获得工程任务的。</w:t>
            </w:r>
          </w:p>
        </w:tc>
        <w:tc>
          <w:tcPr>
            <w:tcW w:w="6301"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建设工程质量管理条例》第六十一条：违反本条例规定，勘察、设计、施工、工程监理单位允许其他单位或者个人以本单位名义承揽工程的，责令改正，没收违法所得，对勘察、设计单位和工程监理单位处合同约定的勘察费、设计费和监理酬金1倍以上2倍以下的罚款；对施工单位处工程合同价款2%以上4%以下的罚款；可以责令停业整顿，降低资质等级；情节严重的，吊销资质证书。</w:t>
            </w:r>
          </w:p>
        </w:tc>
        <w:tc>
          <w:tcPr>
            <w:tcW w:w="952" w:type="dxa"/>
            <w:tcBorders>
              <w:top w:val="nil"/>
              <w:left w:val="nil"/>
              <w:bottom w:val="single" w:color="000000" w:sz="8" w:space="0"/>
              <w:right w:val="single" w:color="000000" w:sz="12" w:space="0"/>
            </w:tcBorders>
            <w:shd w:val="clear" w:color="auto" w:fill="auto"/>
            <w:tcMar>
              <w:top w:w="15" w:type="dxa"/>
              <w:left w:w="15" w:type="dxa"/>
              <w:bottom w:w="15" w:type="dxa"/>
              <w:right w:w="15" w:type="dxa"/>
            </w:tcMar>
            <w:vAlign w:val="center"/>
          </w:tcPr>
          <w:p>
            <w:pPr>
              <w:widowControl/>
              <w:jc w:val="center"/>
              <w:rPr>
                <w:rFonts w:hint="eastAsia" w:asciiTheme="minorEastAsia" w:hAnsiTheme="minorEastAsia" w:eastAsiaTheme="minorEastAsia" w:cstheme="minorEastAsia"/>
                <w:kern w:val="0"/>
                <w:sz w:val="21"/>
                <w:szCs w:val="21"/>
              </w:rPr>
            </w:pPr>
          </w:p>
        </w:tc>
      </w:tr>
      <w:tr>
        <w:tblPrEx>
          <w:tblCellMar>
            <w:top w:w="0" w:type="dxa"/>
            <w:left w:w="0" w:type="dxa"/>
            <w:bottom w:w="0" w:type="dxa"/>
            <w:right w:w="0" w:type="dxa"/>
          </w:tblCellMar>
        </w:tblPrEx>
        <w:trPr>
          <w:trHeight w:val="567" w:hRule="atLeast"/>
          <w:jc w:val="center"/>
        </w:trPr>
        <w:tc>
          <w:tcPr>
            <w:tcW w:w="1168" w:type="dxa"/>
            <w:tcBorders>
              <w:top w:val="nil"/>
              <w:left w:val="single" w:color="000000" w:sz="12" w:space="0"/>
              <w:bottom w:val="single" w:color="000000" w:sz="8" w:space="0"/>
              <w:right w:val="single" w:color="000000" w:sz="8" w:space="0"/>
            </w:tcBorders>
            <w:shd w:val="clear" w:color="auto" w:fill="auto"/>
            <w:tcMar>
              <w:top w:w="15" w:type="dxa"/>
              <w:left w:w="15" w:type="dxa"/>
              <w:bottom w:w="15" w:type="dxa"/>
              <w:right w:w="15" w:type="dxa"/>
            </w:tcMar>
            <w:vAlign w:val="center"/>
          </w:tcPr>
          <w:p>
            <w:pPr>
              <w:numPr>
                <w:ilvl w:val="0"/>
                <w:numId w:val="1"/>
              </w:numPr>
              <w:ind w:left="0" w:leftChars="0" w:firstLine="0" w:firstLineChars="0"/>
              <w:jc w:val="center"/>
              <w:rPr>
                <w:rFonts w:hint="eastAsia" w:ascii="宋体" w:hAnsi="宋体" w:eastAsia="宋体" w:cs="宋体"/>
                <w:lang w:val="en-US" w:eastAsia="zh-CN"/>
              </w:rPr>
            </w:pPr>
          </w:p>
        </w:tc>
        <w:tc>
          <w:tcPr>
            <w:tcW w:w="2881" w:type="dxa"/>
            <w:gridSpan w:val="3"/>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承包单位将承包的工程转包或者违法分包</w:t>
            </w:r>
          </w:p>
        </w:tc>
        <w:tc>
          <w:tcPr>
            <w:tcW w:w="1104" w:type="dxa"/>
            <w:gridSpan w:val="2"/>
            <w:tcBorders>
              <w:top w:val="nil"/>
              <w:left w:val="nil"/>
              <w:bottom w:val="single" w:color="000000" w:sz="8" w:space="0"/>
              <w:right w:val="single" w:color="auto" w:sz="8"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eastAsia="zh-CN"/>
              </w:rPr>
              <w:t>区住建局</w:t>
            </w:r>
          </w:p>
        </w:tc>
        <w:tc>
          <w:tcPr>
            <w:tcW w:w="200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将所承包或受委托工程中的部分工程转包或分包给其他具备相应资质条件他人的，未发生严重后果的。</w:t>
            </w:r>
          </w:p>
        </w:tc>
        <w:tc>
          <w:tcPr>
            <w:tcW w:w="6301"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建设工程质量管理条例》第六十二条：违反本条例规定，承包单位将承包的工程转包或者违法分包的，责令改正，没收违法所得，对勘察、设计单位处合同约定的勘察费、设计费25%以上50%以下的罚款；对施工单位处工程合同价款0.5％以上1％以下的罚款；可以责令停业整顿，降低资质等级；情节严重的，吊销资质证书。</w:t>
            </w:r>
          </w:p>
        </w:tc>
        <w:tc>
          <w:tcPr>
            <w:tcW w:w="952" w:type="dxa"/>
            <w:tcBorders>
              <w:top w:val="nil"/>
              <w:left w:val="nil"/>
              <w:bottom w:val="single" w:color="000000" w:sz="8" w:space="0"/>
              <w:right w:val="single" w:color="000000" w:sz="12" w:space="0"/>
            </w:tcBorders>
            <w:shd w:val="clear" w:color="auto" w:fill="auto"/>
            <w:tcMar>
              <w:top w:w="15" w:type="dxa"/>
              <w:left w:w="15" w:type="dxa"/>
              <w:bottom w:w="15" w:type="dxa"/>
              <w:right w:w="15" w:type="dxa"/>
            </w:tcMar>
            <w:vAlign w:val="center"/>
          </w:tcPr>
          <w:p>
            <w:pPr>
              <w:widowControl/>
              <w:jc w:val="center"/>
              <w:rPr>
                <w:rFonts w:hint="eastAsia" w:asciiTheme="minorEastAsia" w:hAnsiTheme="minorEastAsia" w:eastAsiaTheme="minorEastAsia" w:cstheme="minorEastAsia"/>
                <w:kern w:val="0"/>
                <w:sz w:val="21"/>
                <w:szCs w:val="21"/>
              </w:rPr>
            </w:pPr>
          </w:p>
        </w:tc>
      </w:tr>
      <w:tr>
        <w:tblPrEx>
          <w:tblCellMar>
            <w:top w:w="0" w:type="dxa"/>
            <w:left w:w="0" w:type="dxa"/>
            <w:bottom w:w="0" w:type="dxa"/>
            <w:right w:w="0" w:type="dxa"/>
          </w:tblCellMar>
        </w:tblPrEx>
        <w:trPr>
          <w:trHeight w:val="567" w:hRule="atLeast"/>
          <w:jc w:val="center"/>
        </w:trPr>
        <w:tc>
          <w:tcPr>
            <w:tcW w:w="1168" w:type="dxa"/>
            <w:tcBorders>
              <w:top w:val="nil"/>
              <w:left w:val="single" w:color="000000" w:sz="12" w:space="0"/>
              <w:bottom w:val="single" w:color="000000" w:sz="8" w:space="0"/>
              <w:right w:val="single" w:color="000000" w:sz="8" w:space="0"/>
            </w:tcBorders>
            <w:shd w:val="clear" w:color="auto" w:fill="auto"/>
            <w:tcMar>
              <w:top w:w="15" w:type="dxa"/>
              <w:left w:w="15" w:type="dxa"/>
              <w:bottom w:w="15" w:type="dxa"/>
              <w:right w:w="15" w:type="dxa"/>
            </w:tcMar>
            <w:vAlign w:val="center"/>
          </w:tcPr>
          <w:p>
            <w:pPr>
              <w:numPr>
                <w:ilvl w:val="0"/>
                <w:numId w:val="1"/>
              </w:numPr>
              <w:ind w:left="0" w:leftChars="0" w:firstLine="0" w:firstLineChars="0"/>
              <w:jc w:val="center"/>
              <w:rPr>
                <w:rFonts w:hint="eastAsia" w:ascii="宋体" w:hAnsi="宋体" w:eastAsia="宋体" w:cs="宋体"/>
                <w:lang w:val="en-US" w:eastAsia="zh-CN"/>
              </w:rPr>
            </w:pPr>
          </w:p>
        </w:tc>
        <w:tc>
          <w:tcPr>
            <w:tcW w:w="2881" w:type="dxa"/>
            <w:gridSpan w:val="3"/>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工程监理单位转让工程监理业务</w:t>
            </w:r>
          </w:p>
        </w:tc>
        <w:tc>
          <w:tcPr>
            <w:tcW w:w="1104" w:type="dxa"/>
            <w:gridSpan w:val="2"/>
            <w:tcBorders>
              <w:top w:val="nil"/>
              <w:left w:val="nil"/>
              <w:bottom w:val="single" w:color="000000" w:sz="8" w:space="0"/>
              <w:right w:val="single" w:color="auto" w:sz="8"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eastAsia="zh-CN"/>
              </w:rPr>
              <w:t>区住建局</w:t>
            </w:r>
          </w:p>
        </w:tc>
        <w:tc>
          <w:tcPr>
            <w:tcW w:w="200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未造成严重后果，</w:t>
            </w:r>
            <w:r>
              <w:rPr>
                <w:rFonts w:hint="eastAsia" w:asciiTheme="minorEastAsia" w:hAnsiTheme="minorEastAsia" w:eastAsiaTheme="minorEastAsia" w:cstheme="minorEastAsia"/>
                <w:snapToGrid w:val="0"/>
                <w:kern w:val="0"/>
                <w:sz w:val="21"/>
                <w:szCs w:val="21"/>
              </w:rPr>
              <w:t>主动减轻违法行为危害后果的</w:t>
            </w:r>
          </w:p>
        </w:tc>
        <w:tc>
          <w:tcPr>
            <w:tcW w:w="6301"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建设工程质量管理条例》第六十二条：工程监理单位转让工程监理业务的，责令改正，没收违法所得，处合同约定的监理酬金百分之二十五以上百分之五十以下的罚款；可以责令停业整顿，降低资质等级；情节严重的，吊销资质证书。</w:t>
            </w:r>
          </w:p>
        </w:tc>
        <w:tc>
          <w:tcPr>
            <w:tcW w:w="952" w:type="dxa"/>
            <w:tcBorders>
              <w:top w:val="nil"/>
              <w:left w:val="nil"/>
              <w:bottom w:val="single" w:color="000000" w:sz="8" w:space="0"/>
              <w:right w:val="single" w:color="000000" w:sz="12" w:space="0"/>
            </w:tcBorders>
            <w:shd w:val="clear" w:color="auto" w:fill="auto"/>
            <w:tcMar>
              <w:top w:w="15" w:type="dxa"/>
              <w:left w:w="15" w:type="dxa"/>
              <w:bottom w:w="15" w:type="dxa"/>
              <w:right w:w="15" w:type="dxa"/>
            </w:tcMar>
            <w:vAlign w:val="center"/>
          </w:tcPr>
          <w:p>
            <w:pPr>
              <w:widowControl/>
              <w:jc w:val="center"/>
              <w:rPr>
                <w:rFonts w:hint="eastAsia" w:asciiTheme="minorEastAsia" w:hAnsiTheme="minorEastAsia" w:eastAsiaTheme="minorEastAsia" w:cstheme="minorEastAsia"/>
                <w:kern w:val="0"/>
                <w:sz w:val="21"/>
                <w:szCs w:val="21"/>
              </w:rPr>
            </w:pPr>
          </w:p>
        </w:tc>
      </w:tr>
      <w:tr>
        <w:tblPrEx>
          <w:tblCellMar>
            <w:top w:w="0" w:type="dxa"/>
            <w:left w:w="0" w:type="dxa"/>
            <w:bottom w:w="0" w:type="dxa"/>
            <w:right w:w="0" w:type="dxa"/>
          </w:tblCellMar>
        </w:tblPrEx>
        <w:trPr>
          <w:trHeight w:val="567" w:hRule="atLeast"/>
          <w:jc w:val="center"/>
        </w:trPr>
        <w:tc>
          <w:tcPr>
            <w:tcW w:w="1168" w:type="dxa"/>
            <w:tcBorders>
              <w:top w:val="nil"/>
              <w:left w:val="single" w:color="000000" w:sz="12" w:space="0"/>
              <w:bottom w:val="single" w:color="000000" w:sz="8" w:space="0"/>
              <w:right w:val="single" w:color="000000" w:sz="8" w:space="0"/>
            </w:tcBorders>
            <w:shd w:val="clear" w:color="auto" w:fill="auto"/>
            <w:tcMar>
              <w:top w:w="15" w:type="dxa"/>
              <w:left w:w="15" w:type="dxa"/>
              <w:bottom w:w="15" w:type="dxa"/>
              <w:right w:w="15" w:type="dxa"/>
            </w:tcMar>
            <w:vAlign w:val="center"/>
          </w:tcPr>
          <w:p>
            <w:pPr>
              <w:numPr>
                <w:ilvl w:val="0"/>
                <w:numId w:val="1"/>
              </w:numPr>
              <w:ind w:left="0" w:leftChars="0" w:firstLine="0" w:firstLineChars="0"/>
              <w:jc w:val="center"/>
              <w:rPr>
                <w:rFonts w:hint="eastAsia" w:ascii="宋体" w:hAnsi="宋体" w:eastAsia="宋体" w:cs="宋体"/>
                <w:lang w:val="en-US" w:eastAsia="zh-CN"/>
              </w:rPr>
            </w:pPr>
          </w:p>
        </w:tc>
        <w:tc>
          <w:tcPr>
            <w:tcW w:w="2881" w:type="dxa"/>
            <w:gridSpan w:val="3"/>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勘察单位未按照工程建设强制性标准进行勘察</w:t>
            </w:r>
          </w:p>
        </w:tc>
        <w:tc>
          <w:tcPr>
            <w:tcW w:w="1104" w:type="dxa"/>
            <w:gridSpan w:val="2"/>
            <w:tcBorders>
              <w:top w:val="nil"/>
              <w:left w:val="nil"/>
              <w:bottom w:val="single" w:color="000000" w:sz="8" w:space="0"/>
              <w:right w:val="single" w:color="auto" w:sz="8"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eastAsia="zh-CN"/>
              </w:rPr>
              <w:t>区住建局</w:t>
            </w:r>
          </w:p>
        </w:tc>
        <w:tc>
          <w:tcPr>
            <w:tcW w:w="200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危害后果轻微，主动消除或减轻违法行为危害后果的。</w:t>
            </w:r>
          </w:p>
        </w:tc>
        <w:tc>
          <w:tcPr>
            <w:tcW w:w="6301"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《建设工程质量管理条例》第六十三条：违反本条例规定，有下列行为之一的，责令改正，处10万元以上30万元以下的罚款：</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（一）勘察单位未按照工程建设强制性标准进行勘察的；</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（二）设计单位未根据勘察成果文件进行工程设计的；</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（三）设计单位指定建筑材料、建筑构配件的生产厂、供应商的；</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（四）设计单位未按照工程建设强制性标准进行设计的。</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有前款所列行为，造成工程质量事故的，责令停业整顿，降低资质等级；情节严重的，吊销资质证书；造成损失的，依法承担赔偿责任。</w:t>
            </w:r>
          </w:p>
        </w:tc>
        <w:tc>
          <w:tcPr>
            <w:tcW w:w="952" w:type="dxa"/>
            <w:tcBorders>
              <w:top w:val="nil"/>
              <w:left w:val="nil"/>
              <w:bottom w:val="single" w:color="000000" w:sz="8" w:space="0"/>
              <w:right w:val="single" w:color="000000" w:sz="12" w:space="0"/>
            </w:tcBorders>
            <w:shd w:val="clear" w:color="auto" w:fill="auto"/>
            <w:tcMar>
              <w:top w:w="15" w:type="dxa"/>
              <w:left w:w="15" w:type="dxa"/>
              <w:bottom w:w="15" w:type="dxa"/>
              <w:right w:w="15" w:type="dxa"/>
            </w:tcMar>
            <w:vAlign w:val="center"/>
          </w:tcPr>
          <w:p>
            <w:pPr>
              <w:widowControl/>
              <w:jc w:val="center"/>
              <w:rPr>
                <w:rFonts w:hint="eastAsia" w:asciiTheme="minorEastAsia" w:hAnsiTheme="minorEastAsia" w:eastAsiaTheme="minorEastAsia" w:cstheme="minorEastAsia"/>
                <w:kern w:val="0"/>
                <w:sz w:val="21"/>
                <w:szCs w:val="21"/>
              </w:rPr>
            </w:pPr>
          </w:p>
        </w:tc>
      </w:tr>
      <w:tr>
        <w:tblPrEx>
          <w:tblCellMar>
            <w:top w:w="0" w:type="dxa"/>
            <w:left w:w="0" w:type="dxa"/>
            <w:bottom w:w="0" w:type="dxa"/>
            <w:right w:w="0" w:type="dxa"/>
          </w:tblCellMar>
        </w:tblPrEx>
        <w:trPr>
          <w:trHeight w:val="567" w:hRule="atLeast"/>
          <w:jc w:val="center"/>
        </w:trPr>
        <w:tc>
          <w:tcPr>
            <w:tcW w:w="1168" w:type="dxa"/>
            <w:tcBorders>
              <w:top w:val="nil"/>
              <w:left w:val="single" w:color="000000" w:sz="12" w:space="0"/>
              <w:bottom w:val="single" w:color="000000" w:sz="8" w:space="0"/>
              <w:right w:val="single" w:color="000000" w:sz="8" w:space="0"/>
            </w:tcBorders>
            <w:shd w:val="clear" w:color="auto" w:fill="auto"/>
            <w:tcMar>
              <w:top w:w="15" w:type="dxa"/>
              <w:left w:w="15" w:type="dxa"/>
              <w:bottom w:w="15" w:type="dxa"/>
              <w:right w:w="15" w:type="dxa"/>
            </w:tcMar>
            <w:vAlign w:val="center"/>
          </w:tcPr>
          <w:p>
            <w:pPr>
              <w:numPr>
                <w:ilvl w:val="0"/>
                <w:numId w:val="1"/>
              </w:numPr>
              <w:ind w:left="0" w:leftChars="0" w:firstLine="0" w:firstLineChars="0"/>
              <w:jc w:val="center"/>
              <w:rPr>
                <w:rFonts w:hint="eastAsia" w:ascii="宋体" w:hAnsi="宋体" w:eastAsia="宋体" w:cs="宋体"/>
                <w:lang w:val="en-US" w:eastAsia="zh-CN"/>
              </w:rPr>
            </w:pPr>
          </w:p>
        </w:tc>
        <w:tc>
          <w:tcPr>
            <w:tcW w:w="2881" w:type="dxa"/>
            <w:gridSpan w:val="3"/>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设计单位未根据勘察成果文件进行工程设计</w:t>
            </w:r>
          </w:p>
        </w:tc>
        <w:tc>
          <w:tcPr>
            <w:tcW w:w="1104" w:type="dxa"/>
            <w:gridSpan w:val="2"/>
            <w:tcBorders>
              <w:top w:val="nil"/>
              <w:left w:val="nil"/>
              <w:bottom w:val="single" w:color="000000" w:sz="8" w:space="0"/>
              <w:right w:val="single" w:color="auto" w:sz="8"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eastAsia="zh-CN"/>
              </w:rPr>
              <w:t>区住建局</w:t>
            </w:r>
          </w:p>
        </w:tc>
        <w:tc>
          <w:tcPr>
            <w:tcW w:w="200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未造成设计缺陷的。</w:t>
            </w:r>
          </w:p>
        </w:tc>
        <w:tc>
          <w:tcPr>
            <w:tcW w:w="6301"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《建设工程质量管理条例》第六十三条：违反本条例规定，有下列行为之一的，责令改正，处10万元以上30万元以下的罚款：</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（一）勘察单位未按照工程建设强制性标准进行勘察的；</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（二）设计单位未根据勘察成果文件进行工程设计的；</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（三）设计单位指定建筑材料、建筑构配件的生产厂、供应商的；</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（四）设计单位未按照工程建设强制性标准进行设计的。</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有前款所列行为，造成工程质量事故的，责令停业整顿，降低资质等级；情节严重的，吊销资质证书；造成损失的，依法承担赔偿责任。</w:t>
            </w:r>
          </w:p>
        </w:tc>
        <w:tc>
          <w:tcPr>
            <w:tcW w:w="952" w:type="dxa"/>
            <w:tcBorders>
              <w:top w:val="nil"/>
              <w:left w:val="nil"/>
              <w:bottom w:val="single" w:color="000000" w:sz="8" w:space="0"/>
              <w:right w:val="single" w:color="000000" w:sz="12" w:space="0"/>
            </w:tcBorders>
            <w:shd w:val="clear" w:color="auto" w:fill="auto"/>
            <w:tcMar>
              <w:top w:w="15" w:type="dxa"/>
              <w:left w:w="15" w:type="dxa"/>
              <w:bottom w:w="15" w:type="dxa"/>
              <w:right w:w="15" w:type="dxa"/>
            </w:tcMar>
            <w:vAlign w:val="center"/>
          </w:tcPr>
          <w:p>
            <w:pPr>
              <w:widowControl/>
              <w:jc w:val="center"/>
              <w:rPr>
                <w:rFonts w:hint="eastAsia" w:asciiTheme="minorEastAsia" w:hAnsiTheme="minorEastAsia" w:eastAsiaTheme="minorEastAsia" w:cstheme="minorEastAsia"/>
                <w:kern w:val="0"/>
                <w:sz w:val="21"/>
                <w:szCs w:val="21"/>
              </w:rPr>
            </w:pPr>
          </w:p>
        </w:tc>
      </w:tr>
      <w:tr>
        <w:tblPrEx>
          <w:tblCellMar>
            <w:top w:w="0" w:type="dxa"/>
            <w:left w:w="0" w:type="dxa"/>
            <w:bottom w:w="0" w:type="dxa"/>
            <w:right w:w="0" w:type="dxa"/>
          </w:tblCellMar>
        </w:tblPrEx>
        <w:trPr>
          <w:trHeight w:val="567" w:hRule="atLeast"/>
          <w:jc w:val="center"/>
        </w:trPr>
        <w:tc>
          <w:tcPr>
            <w:tcW w:w="1168" w:type="dxa"/>
            <w:tcBorders>
              <w:top w:val="nil"/>
              <w:left w:val="single" w:color="000000" w:sz="12" w:space="0"/>
              <w:bottom w:val="single" w:color="000000" w:sz="8" w:space="0"/>
              <w:right w:val="single" w:color="000000" w:sz="8" w:space="0"/>
            </w:tcBorders>
            <w:shd w:val="clear" w:color="auto" w:fill="auto"/>
            <w:tcMar>
              <w:top w:w="15" w:type="dxa"/>
              <w:left w:w="15" w:type="dxa"/>
              <w:bottom w:w="15" w:type="dxa"/>
              <w:right w:w="15" w:type="dxa"/>
            </w:tcMar>
            <w:vAlign w:val="center"/>
          </w:tcPr>
          <w:p>
            <w:pPr>
              <w:numPr>
                <w:ilvl w:val="0"/>
                <w:numId w:val="1"/>
              </w:numPr>
              <w:ind w:left="0" w:leftChars="0" w:firstLine="0" w:firstLineChars="0"/>
              <w:jc w:val="center"/>
              <w:rPr>
                <w:rFonts w:hint="eastAsia" w:ascii="宋体" w:hAnsi="宋体" w:eastAsia="宋体" w:cs="宋体"/>
                <w:lang w:val="en-US" w:eastAsia="zh-CN"/>
              </w:rPr>
            </w:pPr>
          </w:p>
        </w:tc>
        <w:tc>
          <w:tcPr>
            <w:tcW w:w="2881" w:type="dxa"/>
            <w:gridSpan w:val="3"/>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设计单位指定建筑材料、建筑构配件的生产厂、供应商</w:t>
            </w:r>
          </w:p>
        </w:tc>
        <w:tc>
          <w:tcPr>
            <w:tcW w:w="1104" w:type="dxa"/>
            <w:gridSpan w:val="2"/>
            <w:tcBorders>
              <w:top w:val="nil"/>
              <w:left w:val="nil"/>
              <w:bottom w:val="single" w:color="000000" w:sz="8" w:space="0"/>
              <w:right w:val="single" w:color="auto" w:sz="8"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eastAsia="zh-CN"/>
              </w:rPr>
              <w:t>区住建局</w:t>
            </w:r>
          </w:p>
        </w:tc>
        <w:tc>
          <w:tcPr>
            <w:tcW w:w="200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指定的产品在非主体、非关键部分的，未发生严重后果的。</w:t>
            </w:r>
          </w:p>
        </w:tc>
        <w:tc>
          <w:tcPr>
            <w:tcW w:w="6301"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《建设工程质量管理条例》第六十三条：违反本条例规定，有下列行为之一的，责令改正，处10万元以上30万元以下的罚款：</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（一）勘察单位未按照工程建设强制性标准进行勘察的；</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（二）设计单位未根据勘察成果文件进行工程设计的；</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（三）设计单位指定建筑材料、建筑构配件的生产厂、供应商的；</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（四）设计单位未按照工程建设强制性标准进行设计的。</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有前款所列行为，造成工程质量事故的，责令停业整顿，降低资质等级；情节严重的，吊销资质证书；造成损失的，依法承担赔偿责任。</w:t>
            </w:r>
          </w:p>
        </w:tc>
        <w:tc>
          <w:tcPr>
            <w:tcW w:w="952" w:type="dxa"/>
            <w:tcBorders>
              <w:top w:val="nil"/>
              <w:left w:val="nil"/>
              <w:bottom w:val="single" w:color="000000" w:sz="8" w:space="0"/>
              <w:right w:val="single" w:color="000000" w:sz="12" w:space="0"/>
            </w:tcBorders>
            <w:shd w:val="clear" w:color="auto" w:fill="auto"/>
            <w:tcMar>
              <w:top w:w="15" w:type="dxa"/>
              <w:left w:w="15" w:type="dxa"/>
              <w:bottom w:w="15" w:type="dxa"/>
              <w:right w:w="15" w:type="dxa"/>
            </w:tcMar>
            <w:vAlign w:val="center"/>
          </w:tcPr>
          <w:p>
            <w:pPr>
              <w:widowControl/>
              <w:jc w:val="center"/>
              <w:rPr>
                <w:rFonts w:hint="eastAsia" w:asciiTheme="minorEastAsia" w:hAnsiTheme="minorEastAsia" w:eastAsiaTheme="minorEastAsia" w:cstheme="minorEastAsia"/>
                <w:kern w:val="0"/>
                <w:sz w:val="21"/>
                <w:szCs w:val="21"/>
              </w:rPr>
            </w:pPr>
          </w:p>
        </w:tc>
      </w:tr>
      <w:tr>
        <w:tblPrEx>
          <w:tblCellMar>
            <w:top w:w="0" w:type="dxa"/>
            <w:left w:w="0" w:type="dxa"/>
            <w:bottom w:w="0" w:type="dxa"/>
            <w:right w:w="0" w:type="dxa"/>
          </w:tblCellMar>
        </w:tblPrEx>
        <w:trPr>
          <w:trHeight w:val="567" w:hRule="atLeast"/>
          <w:jc w:val="center"/>
        </w:trPr>
        <w:tc>
          <w:tcPr>
            <w:tcW w:w="1168" w:type="dxa"/>
            <w:tcBorders>
              <w:top w:val="nil"/>
              <w:left w:val="single" w:color="000000" w:sz="12" w:space="0"/>
              <w:bottom w:val="single" w:color="000000" w:sz="8" w:space="0"/>
              <w:right w:val="single" w:color="000000" w:sz="8" w:space="0"/>
            </w:tcBorders>
            <w:shd w:val="clear" w:color="auto" w:fill="auto"/>
            <w:tcMar>
              <w:top w:w="15" w:type="dxa"/>
              <w:left w:w="15" w:type="dxa"/>
              <w:bottom w:w="15" w:type="dxa"/>
              <w:right w:w="15" w:type="dxa"/>
            </w:tcMar>
            <w:vAlign w:val="center"/>
          </w:tcPr>
          <w:p>
            <w:pPr>
              <w:numPr>
                <w:ilvl w:val="0"/>
                <w:numId w:val="1"/>
              </w:numPr>
              <w:ind w:left="0" w:leftChars="0" w:firstLine="0" w:firstLineChars="0"/>
              <w:jc w:val="center"/>
              <w:rPr>
                <w:rFonts w:hint="eastAsia" w:ascii="宋体" w:hAnsi="宋体" w:eastAsia="宋体" w:cs="宋体"/>
                <w:lang w:val="en-US" w:eastAsia="zh-CN"/>
              </w:rPr>
            </w:pPr>
          </w:p>
        </w:tc>
        <w:tc>
          <w:tcPr>
            <w:tcW w:w="2881" w:type="dxa"/>
            <w:gridSpan w:val="3"/>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设计单位未按照工程建设强制性标准进行设计</w:t>
            </w:r>
          </w:p>
        </w:tc>
        <w:tc>
          <w:tcPr>
            <w:tcW w:w="1104" w:type="dxa"/>
            <w:gridSpan w:val="2"/>
            <w:tcBorders>
              <w:top w:val="nil"/>
              <w:left w:val="nil"/>
              <w:bottom w:val="single" w:color="000000" w:sz="8" w:space="0"/>
              <w:right w:val="single" w:color="auto" w:sz="8"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eastAsia="zh-CN"/>
              </w:rPr>
              <w:t>区住建局</w:t>
            </w:r>
          </w:p>
        </w:tc>
        <w:tc>
          <w:tcPr>
            <w:tcW w:w="200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同一项目中，未按照1条工程建设强制性标准进行设计，未发生严重后果的。</w:t>
            </w:r>
          </w:p>
        </w:tc>
        <w:tc>
          <w:tcPr>
            <w:tcW w:w="6301"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《建设工程质量管理条例》第六十三条：违反本条例规定，有下列行为之一的，责令改正，处10万元以上30万元以下的罚款：</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（一）勘察单位未按照工程建设强制性标准进行勘察的；</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（二）设计单位未根据勘察成果文件进行工程设计的；</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（三）设计单位指定建筑材料、建筑构配件的生产厂、供应商的；</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（四）设计单位未按照工程建设强制性标准进行设计的。</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有前款所列行为，造成工程质量事故的，责令停业整顿，降低资质等级；情节严重的，吊销资质证书；造成损失的，依法承担赔偿责任。</w:t>
            </w:r>
          </w:p>
        </w:tc>
        <w:tc>
          <w:tcPr>
            <w:tcW w:w="952" w:type="dxa"/>
            <w:tcBorders>
              <w:top w:val="nil"/>
              <w:left w:val="nil"/>
              <w:bottom w:val="single" w:color="000000" w:sz="8" w:space="0"/>
              <w:right w:val="single" w:color="000000" w:sz="12" w:space="0"/>
            </w:tcBorders>
            <w:shd w:val="clear" w:color="auto" w:fill="auto"/>
            <w:tcMar>
              <w:top w:w="15" w:type="dxa"/>
              <w:left w:w="15" w:type="dxa"/>
              <w:bottom w:w="15" w:type="dxa"/>
              <w:right w:w="15" w:type="dxa"/>
            </w:tcMar>
            <w:vAlign w:val="center"/>
          </w:tcPr>
          <w:p>
            <w:pPr>
              <w:widowControl/>
              <w:jc w:val="center"/>
              <w:rPr>
                <w:rFonts w:hint="eastAsia" w:asciiTheme="minorEastAsia" w:hAnsiTheme="minorEastAsia" w:eastAsiaTheme="minorEastAsia" w:cstheme="minorEastAsia"/>
                <w:kern w:val="0"/>
                <w:sz w:val="21"/>
                <w:szCs w:val="21"/>
              </w:rPr>
            </w:pPr>
          </w:p>
        </w:tc>
      </w:tr>
      <w:tr>
        <w:tblPrEx>
          <w:tblCellMar>
            <w:top w:w="0" w:type="dxa"/>
            <w:left w:w="0" w:type="dxa"/>
            <w:bottom w:w="0" w:type="dxa"/>
            <w:right w:w="0" w:type="dxa"/>
          </w:tblCellMar>
        </w:tblPrEx>
        <w:trPr>
          <w:trHeight w:val="567" w:hRule="atLeast"/>
          <w:jc w:val="center"/>
        </w:trPr>
        <w:tc>
          <w:tcPr>
            <w:tcW w:w="1168" w:type="dxa"/>
            <w:tcBorders>
              <w:top w:val="nil"/>
              <w:left w:val="single" w:color="000000" w:sz="12" w:space="0"/>
              <w:bottom w:val="single" w:color="000000" w:sz="8" w:space="0"/>
              <w:right w:val="single" w:color="000000" w:sz="8" w:space="0"/>
            </w:tcBorders>
            <w:shd w:val="clear" w:color="auto" w:fill="auto"/>
            <w:tcMar>
              <w:top w:w="15" w:type="dxa"/>
              <w:left w:w="15" w:type="dxa"/>
              <w:bottom w:w="15" w:type="dxa"/>
              <w:right w:w="15" w:type="dxa"/>
            </w:tcMar>
            <w:vAlign w:val="center"/>
          </w:tcPr>
          <w:p>
            <w:pPr>
              <w:numPr>
                <w:ilvl w:val="0"/>
                <w:numId w:val="1"/>
              </w:numPr>
              <w:ind w:left="0" w:leftChars="0" w:firstLine="0" w:firstLineChars="0"/>
              <w:jc w:val="center"/>
              <w:rPr>
                <w:rFonts w:hint="eastAsia" w:ascii="宋体" w:hAnsi="宋体" w:eastAsia="宋体" w:cs="宋体"/>
                <w:lang w:val="en-US" w:eastAsia="zh-CN"/>
              </w:rPr>
            </w:pPr>
          </w:p>
        </w:tc>
        <w:tc>
          <w:tcPr>
            <w:tcW w:w="2881" w:type="dxa"/>
            <w:gridSpan w:val="3"/>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工程监理单位与建设单位或施工单位串通，弄虚作假、降低工程质量</w:t>
            </w:r>
          </w:p>
        </w:tc>
        <w:tc>
          <w:tcPr>
            <w:tcW w:w="1104" w:type="dxa"/>
            <w:gridSpan w:val="2"/>
            <w:tcBorders>
              <w:top w:val="nil"/>
              <w:left w:val="nil"/>
              <w:bottom w:val="single" w:color="000000" w:sz="8" w:space="0"/>
              <w:right w:val="single" w:color="auto" w:sz="8"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eastAsia="zh-CN"/>
              </w:rPr>
              <w:t>区住建局</w:t>
            </w:r>
          </w:p>
        </w:tc>
        <w:tc>
          <w:tcPr>
            <w:tcW w:w="200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危害后果轻微，主动消除或减轻危害后果的。</w:t>
            </w:r>
          </w:p>
        </w:tc>
        <w:tc>
          <w:tcPr>
            <w:tcW w:w="6301"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建设工程质量管理条例》第六十七条：工程监理单位有下列行为之一的，责令改正，处50万元以上100万元以下的罚款，降低资质等级或者吊销资质证书；有违法所得的，予以没收；造成损失的，承担连带赔偿责任：</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（一）与建设单位或者施工单位串通，弄虚作假、降低工程质量的；</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（二）将不合格的建设工程、建筑材料、建筑构配件和设备按照合格签字的。</w:t>
            </w:r>
          </w:p>
        </w:tc>
        <w:tc>
          <w:tcPr>
            <w:tcW w:w="952" w:type="dxa"/>
            <w:tcBorders>
              <w:top w:val="nil"/>
              <w:left w:val="nil"/>
              <w:bottom w:val="single" w:color="000000" w:sz="8" w:space="0"/>
              <w:right w:val="single" w:color="000000" w:sz="12" w:space="0"/>
            </w:tcBorders>
            <w:shd w:val="clear" w:color="auto" w:fill="auto"/>
            <w:tcMar>
              <w:top w:w="15" w:type="dxa"/>
              <w:left w:w="15" w:type="dxa"/>
              <w:bottom w:w="15" w:type="dxa"/>
              <w:right w:w="15" w:type="dxa"/>
            </w:tcMar>
            <w:vAlign w:val="center"/>
          </w:tcPr>
          <w:p>
            <w:pPr>
              <w:widowControl/>
              <w:jc w:val="center"/>
              <w:rPr>
                <w:rFonts w:hint="eastAsia" w:asciiTheme="minorEastAsia" w:hAnsiTheme="minorEastAsia" w:eastAsiaTheme="minorEastAsia" w:cstheme="minorEastAsia"/>
                <w:kern w:val="0"/>
                <w:sz w:val="21"/>
                <w:szCs w:val="21"/>
              </w:rPr>
            </w:pPr>
          </w:p>
        </w:tc>
      </w:tr>
      <w:tr>
        <w:tblPrEx>
          <w:tblCellMar>
            <w:top w:w="0" w:type="dxa"/>
            <w:left w:w="0" w:type="dxa"/>
            <w:bottom w:w="0" w:type="dxa"/>
            <w:right w:w="0" w:type="dxa"/>
          </w:tblCellMar>
        </w:tblPrEx>
        <w:trPr>
          <w:trHeight w:val="567" w:hRule="atLeast"/>
          <w:jc w:val="center"/>
        </w:trPr>
        <w:tc>
          <w:tcPr>
            <w:tcW w:w="1168" w:type="dxa"/>
            <w:tcBorders>
              <w:top w:val="nil"/>
              <w:left w:val="single" w:color="000000" w:sz="12" w:space="0"/>
              <w:bottom w:val="single" w:color="000000" w:sz="8" w:space="0"/>
              <w:right w:val="single" w:color="000000" w:sz="8" w:space="0"/>
            </w:tcBorders>
            <w:shd w:val="clear" w:color="auto" w:fill="auto"/>
            <w:tcMar>
              <w:top w:w="15" w:type="dxa"/>
              <w:left w:w="15" w:type="dxa"/>
              <w:bottom w:w="15" w:type="dxa"/>
              <w:right w:w="15" w:type="dxa"/>
            </w:tcMar>
            <w:vAlign w:val="center"/>
          </w:tcPr>
          <w:p>
            <w:pPr>
              <w:numPr>
                <w:ilvl w:val="0"/>
                <w:numId w:val="1"/>
              </w:numPr>
              <w:ind w:left="0" w:leftChars="0" w:firstLine="0" w:firstLineChars="0"/>
              <w:jc w:val="center"/>
              <w:rPr>
                <w:rFonts w:hint="eastAsia" w:ascii="宋体" w:hAnsi="宋体" w:eastAsia="宋体" w:cs="宋体"/>
                <w:lang w:val="en-US" w:eastAsia="zh-CN"/>
              </w:rPr>
            </w:pPr>
          </w:p>
        </w:tc>
        <w:tc>
          <w:tcPr>
            <w:tcW w:w="2881" w:type="dxa"/>
            <w:gridSpan w:val="3"/>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工程监理单位将不合格的建设工程、建筑材料、建筑构配件和设备按合格签字</w:t>
            </w:r>
          </w:p>
        </w:tc>
        <w:tc>
          <w:tcPr>
            <w:tcW w:w="1104" w:type="dxa"/>
            <w:gridSpan w:val="2"/>
            <w:tcBorders>
              <w:top w:val="nil"/>
              <w:left w:val="nil"/>
              <w:bottom w:val="single" w:color="000000" w:sz="8" w:space="0"/>
              <w:right w:val="single" w:color="auto" w:sz="8"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eastAsia="zh-CN"/>
              </w:rPr>
              <w:t>区住建局</w:t>
            </w:r>
          </w:p>
        </w:tc>
        <w:tc>
          <w:tcPr>
            <w:tcW w:w="200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危害后果轻微，主动消除或减轻危害后果的。</w:t>
            </w:r>
          </w:p>
        </w:tc>
        <w:tc>
          <w:tcPr>
            <w:tcW w:w="6301"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建设工程质量管理条例》第六十七条：工程监理单位有下列行为之一的，责令改正，处50万元以上100万元以下的罚款，降低资质等级或者吊销资质证书；有违法所得的，予以没收；造成损失的，承担连带赔偿责任：</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（一）与建设单位或者施工单位串通，弄虚作假、降低工程质量的；</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（二）将不合格的建设工程、建筑材料、建筑构配件和设备按照合格签字的。</w:t>
            </w:r>
          </w:p>
        </w:tc>
        <w:tc>
          <w:tcPr>
            <w:tcW w:w="952" w:type="dxa"/>
            <w:tcBorders>
              <w:top w:val="nil"/>
              <w:left w:val="nil"/>
              <w:bottom w:val="single" w:color="000000" w:sz="8" w:space="0"/>
              <w:right w:val="single" w:color="000000" w:sz="12" w:space="0"/>
            </w:tcBorders>
            <w:shd w:val="clear" w:color="auto" w:fill="auto"/>
            <w:tcMar>
              <w:top w:w="15" w:type="dxa"/>
              <w:left w:w="15" w:type="dxa"/>
              <w:bottom w:w="15" w:type="dxa"/>
              <w:right w:w="15" w:type="dxa"/>
            </w:tcMar>
            <w:vAlign w:val="center"/>
          </w:tcPr>
          <w:p>
            <w:pPr>
              <w:widowControl/>
              <w:jc w:val="center"/>
              <w:rPr>
                <w:rFonts w:hint="eastAsia" w:asciiTheme="minorEastAsia" w:hAnsiTheme="minorEastAsia" w:eastAsiaTheme="minorEastAsia" w:cstheme="minorEastAsia"/>
                <w:kern w:val="0"/>
                <w:sz w:val="21"/>
                <w:szCs w:val="21"/>
              </w:rPr>
            </w:pPr>
          </w:p>
        </w:tc>
      </w:tr>
      <w:tr>
        <w:tblPrEx>
          <w:tblCellMar>
            <w:top w:w="0" w:type="dxa"/>
            <w:left w:w="0" w:type="dxa"/>
            <w:bottom w:w="0" w:type="dxa"/>
            <w:right w:w="0" w:type="dxa"/>
          </w:tblCellMar>
        </w:tblPrEx>
        <w:trPr>
          <w:trHeight w:val="567" w:hRule="atLeast"/>
          <w:jc w:val="center"/>
        </w:trPr>
        <w:tc>
          <w:tcPr>
            <w:tcW w:w="1168" w:type="dxa"/>
            <w:tcBorders>
              <w:top w:val="nil"/>
              <w:left w:val="single" w:color="000000" w:sz="12" w:space="0"/>
              <w:bottom w:val="single" w:color="000000" w:sz="8" w:space="0"/>
              <w:right w:val="single" w:color="000000" w:sz="8" w:space="0"/>
            </w:tcBorders>
            <w:shd w:val="clear" w:color="auto" w:fill="auto"/>
            <w:tcMar>
              <w:top w:w="15" w:type="dxa"/>
              <w:left w:w="15" w:type="dxa"/>
              <w:bottom w:w="15" w:type="dxa"/>
              <w:right w:w="15" w:type="dxa"/>
            </w:tcMar>
            <w:vAlign w:val="center"/>
          </w:tcPr>
          <w:p>
            <w:pPr>
              <w:numPr>
                <w:ilvl w:val="0"/>
                <w:numId w:val="1"/>
              </w:numPr>
              <w:ind w:left="0" w:leftChars="0" w:firstLine="0" w:firstLineChars="0"/>
              <w:jc w:val="center"/>
              <w:rPr>
                <w:rFonts w:hint="eastAsia" w:ascii="宋体" w:hAnsi="宋体" w:eastAsia="宋体" w:cs="宋体"/>
                <w:lang w:val="en-US" w:eastAsia="zh-CN"/>
              </w:rPr>
            </w:pPr>
          </w:p>
        </w:tc>
        <w:tc>
          <w:tcPr>
            <w:tcW w:w="2881" w:type="dxa"/>
            <w:gridSpan w:val="3"/>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工程监理单位与被监理工程的施工承包单位以及建筑材料、建筑构配件和设备供应单位有隶属关系或者其他利害关系承担该项建设工程的监理业务</w:t>
            </w:r>
          </w:p>
        </w:tc>
        <w:tc>
          <w:tcPr>
            <w:tcW w:w="1104" w:type="dxa"/>
            <w:gridSpan w:val="2"/>
            <w:tcBorders>
              <w:top w:val="nil"/>
              <w:left w:val="nil"/>
              <w:bottom w:val="single" w:color="000000" w:sz="8" w:space="0"/>
              <w:right w:val="single" w:color="auto" w:sz="8"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eastAsia="zh-CN"/>
              </w:rPr>
              <w:t>区住建局</w:t>
            </w:r>
          </w:p>
        </w:tc>
        <w:tc>
          <w:tcPr>
            <w:tcW w:w="200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未造成危害后果或造成轻微危害后果的。</w:t>
            </w:r>
          </w:p>
        </w:tc>
        <w:tc>
          <w:tcPr>
            <w:tcW w:w="6301"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建设工程质量管理条例》第六十八条：违反本条例规定，工程监理单位与被监理工程的施工承包单位以及建筑材料、建筑构配件和设备供应单位有隶属关系或者其他利害关系承担该项建设工程的监理业务的，责令改正，处5万元以上10万元以下的罚款，降低资质等级或者吊销资质证书；有违法所得的，予以没收。</w:t>
            </w:r>
          </w:p>
        </w:tc>
        <w:tc>
          <w:tcPr>
            <w:tcW w:w="952" w:type="dxa"/>
            <w:tcBorders>
              <w:top w:val="nil"/>
              <w:left w:val="nil"/>
              <w:bottom w:val="single" w:color="000000" w:sz="8" w:space="0"/>
              <w:right w:val="single" w:color="000000" w:sz="12" w:space="0"/>
            </w:tcBorders>
            <w:shd w:val="clear" w:color="auto" w:fill="auto"/>
            <w:tcMar>
              <w:top w:w="15" w:type="dxa"/>
              <w:left w:w="15" w:type="dxa"/>
              <w:bottom w:w="15" w:type="dxa"/>
              <w:right w:w="15" w:type="dxa"/>
            </w:tcMar>
            <w:vAlign w:val="center"/>
          </w:tcPr>
          <w:p>
            <w:pPr>
              <w:widowControl/>
              <w:jc w:val="center"/>
              <w:rPr>
                <w:rFonts w:hint="eastAsia" w:asciiTheme="minorEastAsia" w:hAnsiTheme="minorEastAsia" w:eastAsiaTheme="minorEastAsia" w:cstheme="minorEastAsia"/>
                <w:kern w:val="0"/>
                <w:sz w:val="21"/>
                <w:szCs w:val="21"/>
              </w:rPr>
            </w:pPr>
          </w:p>
        </w:tc>
      </w:tr>
      <w:tr>
        <w:tblPrEx>
          <w:tblCellMar>
            <w:top w:w="0" w:type="dxa"/>
            <w:left w:w="0" w:type="dxa"/>
            <w:bottom w:w="0" w:type="dxa"/>
            <w:right w:w="0" w:type="dxa"/>
          </w:tblCellMar>
        </w:tblPrEx>
        <w:trPr>
          <w:trHeight w:val="567" w:hRule="atLeast"/>
          <w:jc w:val="center"/>
        </w:trPr>
        <w:tc>
          <w:tcPr>
            <w:tcW w:w="1168" w:type="dxa"/>
            <w:tcBorders>
              <w:top w:val="nil"/>
              <w:left w:val="single" w:color="000000" w:sz="12" w:space="0"/>
              <w:bottom w:val="single" w:color="000000" w:sz="8" w:space="0"/>
              <w:right w:val="single" w:color="000000" w:sz="8" w:space="0"/>
            </w:tcBorders>
            <w:shd w:val="clear" w:color="auto" w:fill="auto"/>
            <w:tcMar>
              <w:top w:w="15" w:type="dxa"/>
              <w:left w:w="15" w:type="dxa"/>
              <w:bottom w:w="15" w:type="dxa"/>
              <w:right w:w="15" w:type="dxa"/>
            </w:tcMar>
            <w:vAlign w:val="center"/>
          </w:tcPr>
          <w:p>
            <w:pPr>
              <w:numPr>
                <w:ilvl w:val="0"/>
                <w:numId w:val="1"/>
              </w:numPr>
              <w:ind w:left="0" w:leftChars="0" w:firstLine="0" w:firstLineChars="0"/>
              <w:jc w:val="center"/>
              <w:rPr>
                <w:rFonts w:hint="eastAsia" w:ascii="宋体" w:hAnsi="宋体" w:eastAsia="宋体" w:cs="宋体"/>
                <w:lang w:val="en-US" w:eastAsia="zh-CN"/>
              </w:rPr>
            </w:pPr>
          </w:p>
        </w:tc>
        <w:tc>
          <w:tcPr>
            <w:tcW w:w="2881" w:type="dxa"/>
            <w:gridSpan w:val="3"/>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spacing w:line="240" w:lineRule="auto"/>
              <w:jc w:val="left"/>
              <w:rPr>
                <w:rFonts w:hint="eastAsia" w:asciiTheme="minorEastAsia" w:hAnsiTheme="minorEastAsia" w:eastAsiaTheme="minorEastAsia" w:cstheme="minorEastAsia"/>
                <w:sz w:val="21"/>
                <w:szCs w:val="21"/>
              </w:rPr>
            </w:pPr>
            <w:r>
              <w:rPr>
                <w:rFonts w:eastAsia="宋体" w:cs="Times New Roman"/>
                <w:szCs w:val="21"/>
              </w:rPr>
              <w:t>建设单位违反建筑节能标准</w:t>
            </w:r>
          </w:p>
        </w:tc>
        <w:tc>
          <w:tcPr>
            <w:tcW w:w="1104" w:type="dxa"/>
            <w:gridSpan w:val="2"/>
            <w:tcBorders>
              <w:top w:val="nil"/>
              <w:left w:val="nil"/>
              <w:bottom w:val="single" w:color="000000" w:sz="8" w:space="0"/>
              <w:right w:val="single" w:color="auto" w:sz="8" w:space="0"/>
            </w:tcBorders>
            <w:shd w:val="clear" w:color="auto" w:fill="auto"/>
            <w:tcMar>
              <w:top w:w="15" w:type="dxa"/>
              <w:left w:w="15" w:type="dxa"/>
              <w:bottom w:w="15" w:type="dxa"/>
              <w:right w:w="15" w:type="dxa"/>
            </w:tcMar>
            <w:vAlign w:val="center"/>
          </w:tcPr>
          <w:p>
            <w:pPr>
              <w:spacing w:line="240" w:lineRule="auto"/>
              <w:jc w:val="center"/>
              <w:rPr>
                <w:rFonts w:hint="eastAsia" w:asciiTheme="minorEastAsia" w:hAnsiTheme="minorEastAsia" w:eastAsiaTheme="minorEastAsia" w:cstheme="minorEastAsia"/>
                <w:kern w:val="0"/>
                <w:sz w:val="21"/>
                <w:szCs w:val="21"/>
                <w:lang w:eastAsia="zh-CN"/>
              </w:rPr>
            </w:pPr>
            <w:r>
              <w:rPr>
                <w:rFonts w:hint="eastAsia" w:asciiTheme="minorEastAsia" w:hAnsiTheme="minorEastAsia" w:eastAsiaTheme="minorEastAsia" w:cstheme="minorEastAsia"/>
                <w:kern w:val="0"/>
                <w:sz w:val="21"/>
                <w:szCs w:val="21"/>
                <w:lang w:eastAsia="zh-CN"/>
              </w:rPr>
              <w:t>区住建局</w:t>
            </w:r>
          </w:p>
        </w:tc>
        <w:tc>
          <w:tcPr>
            <w:tcW w:w="200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spacing w:line="240" w:lineRule="auto"/>
              <w:jc w:val="both"/>
              <w:rPr>
                <w:rFonts w:hint="eastAsia" w:asciiTheme="minorEastAsia" w:hAnsiTheme="minorEastAsia" w:eastAsiaTheme="minorEastAsia" w:cstheme="minorEastAsia"/>
                <w:sz w:val="21"/>
                <w:szCs w:val="21"/>
              </w:rPr>
            </w:pPr>
            <w:r>
              <w:t>未造成危害后果或造成轻微危害后果的</w:t>
            </w:r>
          </w:p>
        </w:tc>
        <w:tc>
          <w:tcPr>
            <w:tcW w:w="6301"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spacing w:line="240" w:lineRule="auto"/>
              <w:jc w:val="both"/>
              <w:rPr>
                <w:rFonts w:hint="eastAsia" w:asciiTheme="minorEastAsia" w:hAnsiTheme="minorEastAsia" w:eastAsiaTheme="minorEastAsia" w:cstheme="minorEastAsia"/>
                <w:sz w:val="21"/>
                <w:szCs w:val="21"/>
              </w:rPr>
            </w:pPr>
            <w:r>
              <w:t>《中华人民共和国节约能源法》第七十九条：建设单位违反建筑节能标准的，由建设主管部门责令改正，处二十万元以上五十万元以下罚款。</w:t>
            </w:r>
          </w:p>
        </w:tc>
        <w:tc>
          <w:tcPr>
            <w:tcW w:w="952" w:type="dxa"/>
            <w:tcBorders>
              <w:top w:val="nil"/>
              <w:left w:val="nil"/>
              <w:bottom w:val="single" w:color="000000" w:sz="8" w:space="0"/>
              <w:right w:val="single" w:color="000000" w:sz="12" w:space="0"/>
            </w:tcBorders>
            <w:shd w:val="clear" w:color="auto" w:fill="auto"/>
            <w:tcMar>
              <w:top w:w="15" w:type="dxa"/>
              <w:left w:w="15" w:type="dxa"/>
              <w:bottom w:w="15" w:type="dxa"/>
              <w:right w:w="15" w:type="dxa"/>
            </w:tcMar>
            <w:vAlign w:val="center"/>
          </w:tcPr>
          <w:p>
            <w:pPr>
              <w:widowControl/>
              <w:jc w:val="center"/>
              <w:rPr>
                <w:rFonts w:hint="eastAsia" w:asciiTheme="minorEastAsia" w:hAnsiTheme="minorEastAsia" w:eastAsiaTheme="minorEastAsia" w:cstheme="minorEastAsia"/>
                <w:kern w:val="0"/>
                <w:sz w:val="21"/>
                <w:szCs w:val="21"/>
              </w:rPr>
            </w:pPr>
          </w:p>
        </w:tc>
      </w:tr>
      <w:tr>
        <w:tblPrEx>
          <w:tblCellMar>
            <w:top w:w="0" w:type="dxa"/>
            <w:left w:w="0" w:type="dxa"/>
            <w:bottom w:w="0" w:type="dxa"/>
            <w:right w:w="0" w:type="dxa"/>
          </w:tblCellMar>
        </w:tblPrEx>
        <w:trPr>
          <w:trHeight w:val="567" w:hRule="atLeast"/>
          <w:jc w:val="center"/>
        </w:trPr>
        <w:tc>
          <w:tcPr>
            <w:tcW w:w="1168" w:type="dxa"/>
            <w:tcBorders>
              <w:top w:val="nil"/>
              <w:left w:val="single" w:color="000000" w:sz="12" w:space="0"/>
              <w:bottom w:val="single" w:color="000000" w:sz="8" w:space="0"/>
              <w:right w:val="single" w:color="000000" w:sz="8" w:space="0"/>
            </w:tcBorders>
            <w:shd w:val="clear" w:color="auto" w:fill="auto"/>
            <w:tcMar>
              <w:top w:w="15" w:type="dxa"/>
              <w:left w:w="15" w:type="dxa"/>
              <w:bottom w:w="15" w:type="dxa"/>
              <w:right w:w="15" w:type="dxa"/>
            </w:tcMar>
            <w:vAlign w:val="center"/>
          </w:tcPr>
          <w:p>
            <w:pPr>
              <w:numPr>
                <w:ilvl w:val="0"/>
                <w:numId w:val="1"/>
              </w:numPr>
              <w:ind w:left="0" w:leftChars="0" w:firstLine="0" w:firstLineChars="0"/>
              <w:jc w:val="center"/>
              <w:rPr>
                <w:rFonts w:hint="eastAsia" w:ascii="宋体" w:hAnsi="宋体" w:eastAsia="宋体" w:cs="宋体"/>
                <w:lang w:val="en-US" w:eastAsia="zh-CN"/>
              </w:rPr>
            </w:pPr>
          </w:p>
        </w:tc>
        <w:tc>
          <w:tcPr>
            <w:tcW w:w="2881" w:type="dxa"/>
            <w:gridSpan w:val="3"/>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spacing w:line="240" w:lineRule="auto"/>
              <w:jc w:val="left"/>
              <w:rPr>
                <w:rFonts w:hint="eastAsia" w:asciiTheme="minorEastAsia" w:hAnsiTheme="minorEastAsia" w:eastAsiaTheme="minorEastAsia" w:cstheme="minorEastAsia"/>
                <w:sz w:val="21"/>
                <w:szCs w:val="21"/>
              </w:rPr>
            </w:pPr>
            <w:r>
              <w:rPr>
                <w:rFonts w:eastAsia="宋体" w:cs="Times New Roman"/>
                <w:szCs w:val="21"/>
              </w:rPr>
              <w:t>设计单位、施工单位、监理单位违反建筑节能标准</w:t>
            </w:r>
          </w:p>
        </w:tc>
        <w:tc>
          <w:tcPr>
            <w:tcW w:w="1104" w:type="dxa"/>
            <w:gridSpan w:val="2"/>
            <w:tcBorders>
              <w:top w:val="nil"/>
              <w:left w:val="nil"/>
              <w:bottom w:val="single" w:color="000000" w:sz="8" w:space="0"/>
              <w:right w:val="single" w:color="auto" w:sz="8" w:space="0"/>
            </w:tcBorders>
            <w:shd w:val="clear" w:color="auto" w:fill="auto"/>
            <w:tcMar>
              <w:top w:w="15" w:type="dxa"/>
              <w:left w:w="15" w:type="dxa"/>
              <w:bottom w:w="15" w:type="dxa"/>
              <w:right w:w="15" w:type="dxa"/>
            </w:tcMar>
            <w:vAlign w:val="center"/>
          </w:tcPr>
          <w:p>
            <w:pPr>
              <w:spacing w:line="240" w:lineRule="auto"/>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eastAsia="zh-CN"/>
              </w:rPr>
              <w:t>区住建局</w:t>
            </w:r>
          </w:p>
        </w:tc>
        <w:tc>
          <w:tcPr>
            <w:tcW w:w="200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spacing w:line="240" w:lineRule="auto"/>
              <w:jc w:val="both"/>
              <w:rPr>
                <w:rFonts w:eastAsia="宋体" w:cs="Times New Roman"/>
                <w:szCs w:val="21"/>
              </w:rPr>
            </w:pPr>
            <w:r>
              <w:t>未造成危害后果或造成轻微危害后果的</w:t>
            </w:r>
          </w:p>
          <w:p>
            <w:pPr>
              <w:pStyle w:val="11"/>
              <w:spacing w:line="240" w:lineRule="auto"/>
              <w:jc w:val="both"/>
              <w:rPr>
                <w:rFonts w:hint="eastAsia" w:asciiTheme="minorEastAsia" w:hAnsiTheme="minorEastAsia" w:eastAsiaTheme="minorEastAsia" w:cstheme="minorEastAsia"/>
                <w:sz w:val="21"/>
                <w:szCs w:val="21"/>
              </w:rPr>
            </w:pPr>
          </w:p>
        </w:tc>
        <w:tc>
          <w:tcPr>
            <w:tcW w:w="6301"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spacing w:line="240" w:lineRule="auto"/>
              <w:jc w:val="both"/>
              <w:rPr>
                <w:rFonts w:hint="eastAsia" w:asciiTheme="minorEastAsia" w:hAnsiTheme="minorEastAsia" w:eastAsiaTheme="minorEastAsia" w:cstheme="minorEastAsia"/>
                <w:sz w:val="21"/>
                <w:szCs w:val="21"/>
              </w:rPr>
            </w:pPr>
            <w:r>
              <w:t>《中华人民共和国节约能源法》第七十九条：设计单位、施工单位、监理单位违反建筑节能标准的，由建设主管部门责令改正，处十万元以上五十万元以下罚款；情节严重的，由颁发资质证书的部门降低资质等级或者吊销资质证书；造成损失的，依法承担赔偿责任。</w:t>
            </w:r>
          </w:p>
        </w:tc>
        <w:tc>
          <w:tcPr>
            <w:tcW w:w="952" w:type="dxa"/>
            <w:tcBorders>
              <w:top w:val="nil"/>
              <w:left w:val="nil"/>
              <w:bottom w:val="single" w:color="000000" w:sz="8" w:space="0"/>
              <w:right w:val="single" w:color="000000" w:sz="12" w:space="0"/>
            </w:tcBorders>
            <w:shd w:val="clear" w:color="auto" w:fill="auto"/>
            <w:tcMar>
              <w:top w:w="15" w:type="dxa"/>
              <w:left w:w="15" w:type="dxa"/>
              <w:bottom w:w="15" w:type="dxa"/>
              <w:right w:w="15" w:type="dxa"/>
            </w:tcMar>
            <w:vAlign w:val="center"/>
          </w:tcPr>
          <w:p>
            <w:pPr>
              <w:widowControl/>
              <w:jc w:val="center"/>
              <w:rPr>
                <w:rFonts w:hint="eastAsia" w:asciiTheme="minorEastAsia" w:hAnsiTheme="minorEastAsia" w:eastAsiaTheme="minorEastAsia" w:cstheme="minorEastAsia"/>
                <w:kern w:val="0"/>
                <w:sz w:val="21"/>
                <w:szCs w:val="21"/>
              </w:rPr>
            </w:pPr>
          </w:p>
        </w:tc>
      </w:tr>
      <w:tr>
        <w:tblPrEx>
          <w:tblCellMar>
            <w:top w:w="0" w:type="dxa"/>
            <w:left w:w="0" w:type="dxa"/>
            <w:bottom w:w="0" w:type="dxa"/>
            <w:right w:w="0" w:type="dxa"/>
          </w:tblCellMar>
        </w:tblPrEx>
        <w:trPr>
          <w:trHeight w:val="567" w:hRule="atLeast"/>
          <w:jc w:val="center"/>
        </w:trPr>
        <w:tc>
          <w:tcPr>
            <w:tcW w:w="1168" w:type="dxa"/>
            <w:tcBorders>
              <w:top w:val="nil"/>
              <w:left w:val="single" w:color="000000" w:sz="12" w:space="0"/>
              <w:bottom w:val="single" w:color="000000" w:sz="8" w:space="0"/>
              <w:right w:val="single" w:color="000000" w:sz="8" w:space="0"/>
            </w:tcBorders>
            <w:shd w:val="clear" w:color="auto" w:fill="auto"/>
            <w:tcMar>
              <w:top w:w="15" w:type="dxa"/>
              <w:left w:w="15" w:type="dxa"/>
              <w:bottom w:w="15" w:type="dxa"/>
              <w:right w:w="15" w:type="dxa"/>
            </w:tcMar>
            <w:vAlign w:val="center"/>
          </w:tcPr>
          <w:p>
            <w:pPr>
              <w:numPr>
                <w:ilvl w:val="0"/>
                <w:numId w:val="1"/>
              </w:numPr>
              <w:ind w:left="0" w:leftChars="0" w:firstLine="0" w:firstLineChars="0"/>
              <w:jc w:val="center"/>
              <w:rPr>
                <w:rFonts w:hint="eastAsia" w:ascii="宋体" w:hAnsi="宋体" w:eastAsia="宋体" w:cs="宋体"/>
                <w:lang w:val="en-US" w:eastAsia="zh-CN"/>
              </w:rPr>
            </w:pPr>
          </w:p>
        </w:tc>
        <w:tc>
          <w:tcPr>
            <w:tcW w:w="2881" w:type="dxa"/>
            <w:gridSpan w:val="3"/>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widowControl/>
              <w:spacing w:line="240" w:lineRule="auto"/>
              <w:jc w:val="left"/>
              <w:rPr>
                <w:rFonts w:hint="eastAsia" w:asciiTheme="minorEastAsia" w:hAnsiTheme="minorEastAsia" w:eastAsiaTheme="minorEastAsia" w:cstheme="minorEastAsia"/>
                <w:sz w:val="21"/>
                <w:szCs w:val="21"/>
              </w:rPr>
            </w:pPr>
            <w:r>
              <w:t>房地产开发企业在销售房屋时未向购买人明示所售房屋的节能措施、保温工程保修期等信息</w:t>
            </w:r>
          </w:p>
        </w:tc>
        <w:tc>
          <w:tcPr>
            <w:tcW w:w="1104" w:type="dxa"/>
            <w:gridSpan w:val="2"/>
            <w:tcBorders>
              <w:top w:val="nil"/>
              <w:left w:val="nil"/>
              <w:bottom w:val="single" w:color="000000" w:sz="8" w:space="0"/>
              <w:right w:val="single" w:color="auto" w:sz="8" w:space="0"/>
            </w:tcBorders>
            <w:shd w:val="clear" w:color="auto" w:fill="auto"/>
            <w:tcMar>
              <w:top w:w="15" w:type="dxa"/>
              <w:left w:w="15" w:type="dxa"/>
              <w:bottom w:w="15" w:type="dxa"/>
              <w:right w:w="15" w:type="dxa"/>
            </w:tcMar>
            <w:vAlign w:val="center"/>
          </w:tcPr>
          <w:p>
            <w:pPr>
              <w:widowControl/>
              <w:spacing w:line="240" w:lineRule="auto"/>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eastAsia="zh-CN"/>
              </w:rPr>
              <w:t>区住建局</w:t>
            </w:r>
          </w:p>
        </w:tc>
        <w:tc>
          <w:tcPr>
            <w:tcW w:w="200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spacing w:line="240" w:lineRule="auto"/>
              <w:jc w:val="both"/>
              <w:rPr>
                <w:rFonts w:hint="eastAsia" w:asciiTheme="minorEastAsia" w:hAnsiTheme="minorEastAsia" w:eastAsiaTheme="minorEastAsia" w:cstheme="minorEastAsia"/>
                <w:sz w:val="21"/>
                <w:szCs w:val="21"/>
              </w:rPr>
            </w:pPr>
            <w:r>
              <w:t>未造成危害后果或造成轻微危害后果的</w:t>
            </w:r>
          </w:p>
        </w:tc>
        <w:tc>
          <w:tcPr>
            <w:tcW w:w="6301"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widowControl/>
              <w:spacing w:line="240" w:lineRule="auto"/>
              <w:jc w:val="both"/>
              <w:rPr>
                <w:rFonts w:hint="eastAsia" w:asciiTheme="minorEastAsia" w:hAnsiTheme="minorEastAsia" w:eastAsiaTheme="minorEastAsia" w:cstheme="minorEastAsia"/>
                <w:sz w:val="21"/>
                <w:szCs w:val="21"/>
              </w:rPr>
            </w:pPr>
            <w:r>
              <w:t>《中华人民共和国节约能源法》第八十条：房地产开发企业违反本法规定，在销售房屋时未向购买人明示所售房屋的节能措施、保温工程保修期等信息的，由建设主管部门责令限期改正，逾期不改正的，处三万元以上五万元以下罚款；对以上信息作虚假宣传的，由建设主管部门责令改正，处五万元以上二十万元以下罚款。</w:t>
            </w:r>
          </w:p>
        </w:tc>
        <w:tc>
          <w:tcPr>
            <w:tcW w:w="952" w:type="dxa"/>
            <w:tcBorders>
              <w:top w:val="nil"/>
              <w:left w:val="nil"/>
              <w:bottom w:val="single" w:color="000000" w:sz="8" w:space="0"/>
              <w:right w:val="single" w:color="000000" w:sz="12" w:space="0"/>
            </w:tcBorders>
            <w:shd w:val="clear" w:color="auto" w:fill="auto"/>
            <w:tcMar>
              <w:top w:w="15" w:type="dxa"/>
              <w:left w:w="15" w:type="dxa"/>
              <w:bottom w:w="15" w:type="dxa"/>
              <w:right w:w="15" w:type="dxa"/>
            </w:tcMar>
            <w:vAlign w:val="center"/>
          </w:tcPr>
          <w:p>
            <w:pPr>
              <w:widowControl/>
              <w:jc w:val="center"/>
              <w:rPr>
                <w:rFonts w:hint="eastAsia" w:asciiTheme="minorEastAsia" w:hAnsiTheme="minorEastAsia" w:eastAsiaTheme="minorEastAsia" w:cstheme="minorEastAsia"/>
                <w:kern w:val="0"/>
                <w:sz w:val="21"/>
                <w:szCs w:val="21"/>
              </w:rPr>
            </w:pPr>
          </w:p>
        </w:tc>
      </w:tr>
      <w:tr>
        <w:tblPrEx>
          <w:tblCellMar>
            <w:top w:w="0" w:type="dxa"/>
            <w:left w:w="0" w:type="dxa"/>
            <w:bottom w:w="0" w:type="dxa"/>
            <w:right w:w="0" w:type="dxa"/>
          </w:tblCellMar>
        </w:tblPrEx>
        <w:trPr>
          <w:trHeight w:val="567" w:hRule="atLeast"/>
          <w:jc w:val="center"/>
        </w:trPr>
        <w:tc>
          <w:tcPr>
            <w:tcW w:w="1168" w:type="dxa"/>
            <w:tcBorders>
              <w:top w:val="nil"/>
              <w:left w:val="single" w:color="000000" w:sz="12" w:space="0"/>
              <w:bottom w:val="single" w:color="000000" w:sz="8" w:space="0"/>
              <w:right w:val="single" w:color="000000" w:sz="8" w:space="0"/>
            </w:tcBorders>
            <w:shd w:val="clear" w:color="auto" w:fill="auto"/>
            <w:tcMar>
              <w:top w:w="15" w:type="dxa"/>
              <w:left w:w="15" w:type="dxa"/>
              <w:bottom w:w="15" w:type="dxa"/>
              <w:right w:w="15" w:type="dxa"/>
            </w:tcMar>
            <w:vAlign w:val="center"/>
          </w:tcPr>
          <w:p>
            <w:pPr>
              <w:numPr>
                <w:ilvl w:val="0"/>
                <w:numId w:val="1"/>
              </w:numPr>
              <w:ind w:left="0" w:leftChars="0" w:firstLine="0" w:firstLineChars="0"/>
              <w:jc w:val="center"/>
              <w:rPr>
                <w:rFonts w:hint="eastAsia" w:ascii="宋体" w:hAnsi="宋体" w:eastAsia="宋体" w:cs="宋体"/>
                <w:lang w:val="en-US" w:eastAsia="zh-CN"/>
              </w:rPr>
            </w:pPr>
          </w:p>
        </w:tc>
        <w:tc>
          <w:tcPr>
            <w:tcW w:w="2881" w:type="dxa"/>
            <w:gridSpan w:val="3"/>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widowControl/>
              <w:spacing w:line="240" w:lineRule="auto"/>
              <w:jc w:val="left"/>
              <w:rPr>
                <w:rFonts w:hint="eastAsia" w:asciiTheme="minorEastAsia" w:hAnsiTheme="minorEastAsia" w:eastAsiaTheme="minorEastAsia" w:cstheme="minorEastAsia"/>
                <w:sz w:val="21"/>
                <w:szCs w:val="21"/>
              </w:rPr>
            </w:pPr>
            <w:r>
              <w:t>房地产开发企业销售房屋时对所售房屋的节能措施、保温工程保修期等信息作虚假宣传</w:t>
            </w:r>
          </w:p>
        </w:tc>
        <w:tc>
          <w:tcPr>
            <w:tcW w:w="1104" w:type="dxa"/>
            <w:gridSpan w:val="2"/>
            <w:tcBorders>
              <w:top w:val="nil"/>
              <w:left w:val="nil"/>
              <w:bottom w:val="single" w:color="000000" w:sz="8" w:space="0"/>
              <w:right w:val="single" w:color="auto" w:sz="8" w:space="0"/>
            </w:tcBorders>
            <w:shd w:val="clear" w:color="auto" w:fill="auto"/>
            <w:tcMar>
              <w:top w:w="15" w:type="dxa"/>
              <w:left w:w="15" w:type="dxa"/>
              <w:bottom w:w="15" w:type="dxa"/>
              <w:right w:w="15" w:type="dxa"/>
            </w:tcMar>
            <w:vAlign w:val="center"/>
          </w:tcPr>
          <w:p>
            <w:pPr>
              <w:widowControl/>
              <w:spacing w:line="240" w:lineRule="auto"/>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eastAsia="zh-CN"/>
              </w:rPr>
              <w:t>区住建局</w:t>
            </w:r>
          </w:p>
        </w:tc>
        <w:tc>
          <w:tcPr>
            <w:tcW w:w="200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spacing w:line="240" w:lineRule="auto"/>
              <w:jc w:val="both"/>
              <w:rPr>
                <w:rFonts w:hint="eastAsia" w:asciiTheme="minorEastAsia" w:hAnsiTheme="minorEastAsia" w:eastAsiaTheme="minorEastAsia" w:cstheme="minorEastAsia"/>
                <w:sz w:val="21"/>
                <w:szCs w:val="21"/>
              </w:rPr>
            </w:pPr>
            <w:r>
              <w:t>未造成危害后果或造成轻微危害后果的</w:t>
            </w:r>
          </w:p>
        </w:tc>
        <w:tc>
          <w:tcPr>
            <w:tcW w:w="6301"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widowControl/>
              <w:spacing w:line="240" w:lineRule="auto"/>
              <w:jc w:val="both"/>
              <w:rPr>
                <w:rFonts w:hint="eastAsia" w:asciiTheme="minorEastAsia" w:hAnsiTheme="minorEastAsia" w:eastAsiaTheme="minorEastAsia" w:cstheme="minorEastAsia"/>
                <w:sz w:val="21"/>
                <w:szCs w:val="21"/>
              </w:rPr>
            </w:pPr>
            <w:r>
              <w:t>《中华人民共和国节约能源法》第八十条：房地产开发企业违反本法规定，在销售房屋时未向购买人明示所售房屋的节能措施、保温工程保修期等信息的，由建设主管部门责令限期改正，逾期不改正的，处三万元以上五万元以下罚款；对以上信息作虚假宣传的，由建设主管部门责令改正，处五万元以上二十万元以下罚款。</w:t>
            </w:r>
          </w:p>
        </w:tc>
        <w:tc>
          <w:tcPr>
            <w:tcW w:w="952" w:type="dxa"/>
            <w:tcBorders>
              <w:top w:val="nil"/>
              <w:left w:val="nil"/>
              <w:bottom w:val="single" w:color="000000" w:sz="8" w:space="0"/>
              <w:right w:val="single" w:color="000000" w:sz="12" w:space="0"/>
            </w:tcBorders>
            <w:shd w:val="clear" w:color="auto" w:fill="auto"/>
            <w:tcMar>
              <w:top w:w="15" w:type="dxa"/>
              <w:left w:w="15" w:type="dxa"/>
              <w:bottom w:w="15" w:type="dxa"/>
              <w:right w:w="15" w:type="dxa"/>
            </w:tcMar>
            <w:vAlign w:val="center"/>
          </w:tcPr>
          <w:p>
            <w:pPr>
              <w:widowControl/>
              <w:jc w:val="center"/>
              <w:rPr>
                <w:rFonts w:hint="eastAsia" w:asciiTheme="minorEastAsia" w:hAnsiTheme="minorEastAsia" w:eastAsiaTheme="minorEastAsia" w:cstheme="minorEastAsia"/>
                <w:kern w:val="0"/>
                <w:sz w:val="21"/>
                <w:szCs w:val="21"/>
              </w:rPr>
            </w:pPr>
          </w:p>
        </w:tc>
      </w:tr>
      <w:tr>
        <w:tblPrEx>
          <w:tblCellMar>
            <w:top w:w="0" w:type="dxa"/>
            <w:left w:w="0" w:type="dxa"/>
            <w:bottom w:w="0" w:type="dxa"/>
            <w:right w:w="0" w:type="dxa"/>
          </w:tblCellMar>
        </w:tblPrEx>
        <w:trPr>
          <w:trHeight w:val="567" w:hRule="atLeast"/>
          <w:jc w:val="center"/>
        </w:trPr>
        <w:tc>
          <w:tcPr>
            <w:tcW w:w="1168" w:type="dxa"/>
            <w:tcBorders>
              <w:top w:val="nil"/>
              <w:left w:val="single" w:color="000000" w:sz="12" w:space="0"/>
              <w:bottom w:val="single" w:color="000000" w:sz="8" w:space="0"/>
              <w:right w:val="single" w:color="000000" w:sz="8" w:space="0"/>
            </w:tcBorders>
            <w:shd w:val="clear" w:color="auto" w:fill="auto"/>
            <w:tcMar>
              <w:top w:w="15" w:type="dxa"/>
              <w:left w:w="15" w:type="dxa"/>
              <w:bottom w:w="15" w:type="dxa"/>
              <w:right w:w="15" w:type="dxa"/>
            </w:tcMar>
            <w:vAlign w:val="center"/>
          </w:tcPr>
          <w:p>
            <w:pPr>
              <w:numPr>
                <w:ilvl w:val="0"/>
                <w:numId w:val="1"/>
              </w:numPr>
              <w:ind w:left="0" w:leftChars="0" w:firstLine="0" w:firstLineChars="0"/>
              <w:jc w:val="center"/>
              <w:rPr>
                <w:rFonts w:hint="eastAsia" w:ascii="宋体" w:hAnsi="宋体" w:eastAsia="宋体" w:cs="宋体"/>
                <w:lang w:val="en-US" w:eastAsia="zh-CN"/>
              </w:rPr>
            </w:pPr>
          </w:p>
        </w:tc>
        <w:tc>
          <w:tcPr>
            <w:tcW w:w="2881" w:type="dxa"/>
            <w:gridSpan w:val="3"/>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spacing w:line="240" w:lineRule="auto"/>
              <w:jc w:val="left"/>
              <w:rPr>
                <w:rFonts w:hint="eastAsia" w:asciiTheme="minorEastAsia" w:hAnsiTheme="minorEastAsia" w:eastAsiaTheme="minorEastAsia" w:cstheme="minorEastAsia"/>
                <w:sz w:val="21"/>
                <w:szCs w:val="21"/>
              </w:rPr>
            </w:pPr>
            <w:r>
              <w:t>建设单位明示或者暗示设计单位、施工单位违反民用建筑节能强制性标准进行设计、施工</w:t>
            </w:r>
          </w:p>
        </w:tc>
        <w:tc>
          <w:tcPr>
            <w:tcW w:w="1104" w:type="dxa"/>
            <w:gridSpan w:val="2"/>
            <w:tcBorders>
              <w:top w:val="nil"/>
              <w:left w:val="nil"/>
              <w:bottom w:val="single" w:color="000000" w:sz="8" w:space="0"/>
              <w:right w:val="single" w:color="auto" w:sz="8" w:space="0"/>
            </w:tcBorders>
            <w:shd w:val="clear" w:color="auto" w:fill="auto"/>
            <w:tcMar>
              <w:top w:w="15" w:type="dxa"/>
              <w:left w:w="15" w:type="dxa"/>
              <w:bottom w:w="15" w:type="dxa"/>
              <w:right w:w="15" w:type="dxa"/>
            </w:tcMar>
            <w:vAlign w:val="center"/>
          </w:tcPr>
          <w:p>
            <w:pPr>
              <w:widowControl/>
              <w:spacing w:line="240" w:lineRule="auto"/>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eastAsia="zh-CN"/>
              </w:rPr>
              <w:t>区住建局</w:t>
            </w:r>
          </w:p>
        </w:tc>
        <w:tc>
          <w:tcPr>
            <w:tcW w:w="200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spacing w:line="240" w:lineRule="auto"/>
              <w:jc w:val="both"/>
              <w:rPr>
                <w:rFonts w:hint="eastAsia" w:asciiTheme="minorEastAsia" w:hAnsiTheme="minorEastAsia" w:eastAsiaTheme="minorEastAsia" w:cstheme="minorEastAsia"/>
                <w:sz w:val="21"/>
                <w:szCs w:val="21"/>
              </w:rPr>
            </w:pPr>
            <w:r>
              <w:t>未造成建筑节能指标降低或影响结构安全及重要使用功能的</w:t>
            </w:r>
          </w:p>
        </w:tc>
        <w:tc>
          <w:tcPr>
            <w:tcW w:w="6301"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spacing w:line="240" w:lineRule="auto"/>
              <w:jc w:val="both"/>
              <w:rPr>
                <w:rFonts w:hint="eastAsia" w:asciiTheme="minorEastAsia" w:hAnsiTheme="minorEastAsia" w:eastAsiaTheme="minorEastAsia" w:cstheme="minorEastAsia"/>
                <w:sz w:val="21"/>
                <w:szCs w:val="21"/>
              </w:rPr>
            </w:pPr>
            <w:r>
              <w:t>《民用建筑节能条例》第三十七条：违反本条例规定，建设单位有下列行为之一的，由县级以上地方人民政府建设主管部门责令改正，处20万元以上50万元以下的罚款：（一）明示或者暗示设计单位、施工单位违反民用建筑节能强制性标准进行设计、施工的。</w:t>
            </w:r>
            <w:r>
              <w:br w:type="textWrapping"/>
            </w:r>
            <w:r>
              <w:t>　　</w:t>
            </w:r>
          </w:p>
        </w:tc>
        <w:tc>
          <w:tcPr>
            <w:tcW w:w="952" w:type="dxa"/>
            <w:tcBorders>
              <w:top w:val="nil"/>
              <w:left w:val="nil"/>
              <w:bottom w:val="single" w:color="000000" w:sz="8" w:space="0"/>
              <w:right w:val="single" w:color="000000" w:sz="12" w:space="0"/>
            </w:tcBorders>
            <w:shd w:val="clear" w:color="auto" w:fill="auto"/>
            <w:tcMar>
              <w:top w:w="15" w:type="dxa"/>
              <w:left w:w="15" w:type="dxa"/>
              <w:bottom w:w="15" w:type="dxa"/>
              <w:right w:w="15" w:type="dxa"/>
            </w:tcMar>
            <w:vAlign w:val="center"/>
          </w:tcPr>
          <w:p>
            <w:pPr>
              <w:widowControl/>
              <w:jc w:val="center"/>
              <w:rPr>
                <w:rFonts w:hint="eastAsia" w:asciiTheme="minorEastAsia" w:hAnsiTheme="minorEastAsia" w:eastAsiaTheme="minorEastAsia" w:cstheme="minorEastAsia"/>
                <w:kern w:val="0"/>
                <w:sz w:val="21"/>
                <w:szCs w:val="21"/>
              </w:rPr>
            </w:pPr>
          </w:p>
        </w:tc>
      </w:tr>
      <w:tr>
        <w:tblPrEx>
          <w:tblCellMar>
            <w:top w:w="0" w:type="dxa"/>
            <w:left w:w="0" w:type="dxa"/>
            <w:bottom w:w="0" w:type="dxa"/>
            <w:right w:w="0" w:type="dxa"/>
          </w:tblCellMar>
        </w:tblPrEx>
        <w:trPr>
          <w:trHeight w:val="567" w:hRule="atLeast"/>
          <w:jc w:val="center"/>
        </w:trPr>
        <w:tc>
          <w:tcPr>
            <w:tcW w:w="1168" w:type="dxa"/>
            <w:tcBorders>
              <w:top w:val="nil"/>
              <w:left w:val="single" w:color="000000" w:sz="12" w:space="0"/>
              <w:bottom w:val="single" w:color="000000" w:sz="8" w:space="0"/>
              <w:right w:val="single" w:color="000000" w:sz="8" w:space="0"/>
            </w:tcBorders>
            <w:shd w:val="clear" w:color="auto" w:fill="auto"/>
            <w:tcMar>
              <w:top w:w="15" w:type="dxa"/>
              <w:left w:w="15" w:type="dxa"/>
              <w:bottom w:w="15" w:type="dxa"/>
              <w:right w:w="15" w:type="dxa"/>
            </w:tcMar>
            <w:vAlign w:val="center"/>
          </w:tcPr>
          <w:p>
            <w:pPr>
              <w:numPr>
                <w:ilvl w:val="0"/>
                <w:numId w:val="1"/>
              </w:numPr>
              <w:ind w:left="0" w:leftChars="0" w:firstLine="0" w:firstLineChars="0"/>
              <w:jc w:val="center"/>
              <w:rPr>
                <w:rFonts w:hint="eastAsia" w:ascii="宋体" w:hAnsi="宋体" w:eastAsia="宋体" w:cs="宋体"/>
                <w:lang w:val="en-US" w:eastAsia="zh-CN"/>
              </w:rPr>
            </w:pPr>
          </w:p>
        </w:tc>
        <w:tc>
          <w:tcPr>
            <w:tcW w:w="2881" w:type="dxa"/>
            <w:gridSpan w:val="3"/>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widowControl/>
              <w:spacing w:line="240" w:lineRule="auto"/>
              <w:jc w:val="left"/>
              <w:rPr>
                <w:rFonts w:hint="eastAsia" w:asciiTheme="minorEastAsia" w:hAnsiTheme="minorEastAsia" w:eastAsiaTheme="minorEastAsia" w:cstheme="minorEastAsia"/>
                <w:sz w:val="21"/>
                <w:szCs w:val="21"/>
              </w:rPr>
            </w:pPr>
            <w:r>
              <w:t>建设单位采购不符合施工图设计文件要求的墙体材料、保温材料、门窗、采暖制冷系统和照明设备</w:t>
            </w:r>
          </w:p>
        </w:tc>
        <w:tc>
          <w:tcPr>
            <w:tcW w:w="1104" w:type="dxa"/>
            <w:gridSpan w:val="2"/>
            <w:tcBorders>
              <w:top w:val="nil"/>
              <w:left w:val="nil"/>
              <w:bottom w:val="single" w:color="000000" w:sz="8" w:space="0"/>
              <w:right w:val="single" w:color="auto" w:sz="8" w:space="0"/>
            </w:tcBorders>
            <w:shd w:val="clear" w:color="auto" w:fill="auto"/>
            <w:tcMar>
              <w:top w:w="15" w:type="dxa"/>
              <w:left w:w="15" w:type="dxa"/>
              <w:bottom w:w="15" w:type="dxa"/>
              <w:right w:w="15" w:type="dxa"/>
            </w:tcMar>
            <w:vAlign w:val="center"/>
          </w:tcPr>
          <w:p>
            <w:pPr>
              <w:widowControl/>
              <w:spacing w:line="240" w:lineRule="auto"/>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eastAsia="zh-CN"/>
              </w:rPr>
              <w:t>区住建局</w:t>
            </w:r>
          </w:p>
        </w:tc>
        <w:tc>
          <w:tcPr>
            <w:tcW w:w="200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spacing w:line="240" w:lineRule="auto"/>
              <w:jc w:val="both"/>
              <w:rPr>
                <w:rFonts w:hint="eastAsia" w:asciiTheme="minorEastAsia" w:hAnsiTheme="minorEastAsia" w:eastAsiaTheme="minorEastAsia" w:cstheme="minorEastAsia"/>
                <w:sz w:val="21"/>
                <w:szCs w:val="21"/>
              </w:rPr>
            </w:pPr>
            <w:r>
              <w:t>未造成危害后果或造成轻微危害后果的</w:t>
            </w:r>
          </w:p>
        </w:tc>
        <w:tc>
          <w:tcPr>
            <w:tcW w:w="6301"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widowControl/>
              <w:spacing w:line="240" w:lineRule="auto"/>
              <w:jc w:val="both"/>
              <w:rPr>
                <w:rFonts w:hint="eastAsia" w:asciiTheme="minorEastAsia" w:hAnsiTheme="minorEastAsia" w:eastAsiaTheme="minorEastAsia" w:cstheme="minorEastAsia"/>
                <w:sz w:val="21"/>
                <w:szCs w:val="21"/>
              </w:rPr>
            </w:pPr>
            <w:r>
              <w:rPr>
                <w:rFonts w:ascii="Times New Roman" w:hAnsi="Times New Roman" w:eastAsiaTheme="minorEastAsia" w:cstheme="minorBidi"/>
                <w:kern w:val="0"/>
                <w:sz w:val="21"/>
                <w:szCs w:val="22"/>
                <w:lang w:val="en-US" w:eastAsia="zh-CN" w:bidi="ar-SA"/>
              </w:rPr>
              <w:t>《民用建筑节能条例》第三十七条：违反本条例规定，建设单位有下列行为之一的，由县级以上地方人民政府建设主管部门责令改正，处20万元以上50万元以下的罚款：（三）采购不符合施工图设计文件要求的墙体材料、保温材料、门窗、采暖制冷系统和照明设备的。</w:t>
            </w:r>
          </w:p>
        </w:tc>
        <w:tc>
          <w:tcPr>
            <w:tcW w:w="952" w:type="dxa"/>
            <w:tcBorders>
              <w:top w:val="nil"/>
              <w:left w:val="nil"/>
              <w:bottom w:val="single" w:color="000000" w:sz="8" w:space="0"/>
              <w:right w:val="single" w:color="000000" w:sz="12" w:space="0"/>
            </w:tcBorders>
            <w:shd w:val="clear" w:color="auto" w:fill="auto"/>
            <w:tcMar>
              <w:top w:w="15" w:type="dxa"/>
              <w:left w:w="15" w:type="dxa"/>
              <w:bottom w:w="15" w:type="dxa"/>
              <w:right w:w="15" w:type="dxa"/>
            </w:tcMar>
            <w:vAlign w:val="center"/>
          </w:tcPr>
          <w:p>
            <w:pPr>
              <w:widowControl/>
              <w:jc w:val="center"/>
              <w:rPr>
                <w:rFonts w:hint="eastAsia" w:asciiTheme="minorEastAsia" w:hAnsiTheme="minorEastAsia" w:eastAsiaTheme="minorEastAsia" w:cstheme="minorEastAsia"/>
                <w:kern w:val="0"/>
                <w:sz w:val="21"/>
                <w:szCs w:val="21"/>
              </w:rPr>
            </w:pPr>
          </w:p>
        </w:tc>
      </w:tr>
      <w:tr>
        <w:tblPrEx>
          <w:tblCellMar>
            <w:top w:w="0" w:type="dxa"/>
            <w:left w:w="0" w:type="dxa"/>
            <w:bottom w:w="0" w:type="dxa"/>
            <w:right w:w="0" w:type="dxa"/>
          </w:tblCellMar>
        </w:tblPrEx>
        <w:trPr>
          <w:trHeight w:val="567" w:hRule="atLeast"/>
          <w:jc w:val="center"/>
        </w:trPr>
        <w:tc>
          <w:tcPr>
            <w:tcW w:w="1168" w:type="dxa"/>
            <w:tcBorders>
              <w:top w:val="nil"/>
              <w:left w:val="single" w:color="000000" w:sz="12" w:space="0"/>
              <w:bottom w:val="single" w:color="000000" w:sz="8" w:space="0"/>
              <w:right w:val="single" w:color="000000" w:sz="8" w:space="0"/>
            </w:tcBorders>
            <w:shd w:val="clear" w:color="auto" w:fill="auto"/>
            <w:tcMar>
              <w:top w:w="15" w:type="dxa"/>
              <w:left w:w="15" w:type="dxa"/>
              <w:bottom w:w="15" w:type="dxa"/>
              <w:right w:w="15" w:type="dxa"/>
            </w:tcMar>
            <w:vAlign w:val="center"/>
          </w:tcPr>
          <w:p>
            <w:pPr>
              <w:numPr>
                <w:ilvl w:val="0"/>
                <w:numId w:val="1"/>
              </w:numPr>
              <w:ind w:left="0" w:leftChars="0" w:firstLine="0" w:firstLineChars="0"/>
              <w:jc w:val="center"/>
              <w:rPr>
                <w:rFonts w:hint="eastAsia" w:ascii="宋体" w:hAnsi="宋体" w:eastAsia="宋体" w:cs="宋体"/>
                <w:lang w:val="en-US" w:eastAsia="zh-CN"/>
              </w:rPr>
            </w:pPr>
          </w:p>
        </w:tc>
        <w:tc>
          <w:tcPr>
            <w:tcW w:w="2881" w:type="dxa"/>
            <w:gridSpan w:val="3"/>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widowControl/>
              <w:spacing w:line="240" w:lineRule="auto"/>
              <w:jc w:val="left"/>
              <w:rPr>
                <w:rFonts w:hint="eastAsia" w:asciiTheme="minorEastAsia" w:hAnsiTheme="minorEastAsia" w:eastAsiaTheme="minorEastAsia" w:cstheme="minorEastAsia"/>
                <w:sz w:val="21"/>
                <w:szCs w:val="21"/>
              </w:rPr>
            </w:pPr>
            <w:r>
              <w:t>建设单位使用列入禁止使用目录的技术、工艺、材料和设备</w:t>
            </w:r>
          </w:p>
        </w:tc>
        <w:tc>
          <w:tcPr>
            <w:tcW w:w="1104" w:type="dxa"/>
            <w:gridSpan w:val="2"/>
            <w:tcBorders>
              <w:top w:val="nil"/>
              <w:left w:val="nil"/>
              <w:bottom w:val="single" w:color="000000" w:sz="8" w:space="0"/>
              <w:right w:val="single" w:color="auto" w:sz="8" w:space="0"/>
            </w:tcBorders>
            <w:shd w:val="clear" w:color="auto" w:fill="auto"/>
            <w:tcMar>
              <w:top w:w="15" w:type="dxa"/>
              <w:left w:w="15" w:type="dxa"/>
              <w:bottom w:w="15" w:type="dxa"/>
              <w:right w:w="15" w:type="dxa"/>
            </w:tcMar>
            <w:vAlign w:val="center"/>
          </w:tcPr>
          <w:p>
            <w:pPr>
              <w:widowControl/>
              <w:spacing w:line="240" w:lineRule="auto"/>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eastAsia="zh-CN"/>
              </w:rPr>
              <w:t>区住建局</w:t>
            </w:r>
          </w:p>
        </w:tc>
        <w:tc>
          <w:tcPr>
            <w:tcW w:w="200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spacing w:line="240" w:lineRule="auto"/>
              <w:jc w:val="both"/>
              <w:rPr>
                <w:rFonts w:hint="eastAsia" w:asciiTheme="minorEastAsia" w:hAnsiTheme="minorEastAsia" w:eastAsiaTheme="minorEastAsia" w:cstheme="minorEastAsia"/>
                <w:sz w:val="21"/>
                <w:szCs w:val="21"/>
              </w:rPr>
            </w:pPr>
            <w:r>
              <w:t>未造成危害后果或造成轻微危害后果的</w:t>
            </w:r>
          </w:p>
        </w:tc>
        <w:tc>
          <w:tcPr>
            <w:tcW w:w="6301"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widowControl/>
              <w:spacing w:line="240" w:lineRule="auto"/>
              <w:jc w:val="both"/>
              <w:rPr>
                <w:rFonts w:hint="eastAsia" w:asciiTheme="minorEastAsia" w:hAnsiTheme="minorEastAsia" w:eastAsiaTheme="minorEastAsia" w:cstheme="minorEastAsia"/>
                <w:sz w:val="21"/>
                <w:szCs w:val="21"/>
              </w:rPr>
            </w:pPr>
            <w:r>
              <w:rPr>
                <w:rFonts w:ascii="Times New Roman" w:hAnsi="Times New Roman" w:eastAsiaTheme="minorEastAsia" w:cstheme="minorBidi"/>
                <w:kern w:val="0"/>
                <w:sz w:val="21"/>
                <w:szCs w:val="22"/>
                <w:lang w:val="en-US" w:eastAsia="zh-CN" w:bidi="ar-SA"/>
              </w:rPr>
              <w:t>《民用建筑节能条例》第三十七条：违反本条例规定，建设单位有下列行为之一的，由县级以上地方人民政府建设主管部门责令改正，处20万元以上50万元以下的罚款：（四）使用列入禁止使用目录的技术、工艺、材料和设备的。</w:t>
            </w:r>
          </w:p>
        </w:tc>
        <w:tc>
          <w:tcPr>
            <w:tcW w:w="952" w:type="dxa"/>
            <w:tcBorders>
              <w:top w:val="nil"/>
              <w:left w:val="nil"/>
              <w:bottom w:val="single" w:color="000000" w:sz="8" w:space="0"/>
              <w:right w:val="single" w:color="000000" w:sz="12" w:space="0"/>
            </w:tcBorders>
            <w:shd w:val="clear" w:color="auto" w:fill="auto"/>
            <w:tcMar>
              <w:top w:w="15" w:type="dxa"/>
              <w:left w:w="15" w:type="dxa"/>
              <w:bottom w:w="15" w:type="dxa"/>
              <w:right w:w="15" w:type="dxa"/>
            </w:tcMar>
            <w:vAlign w:val="center"/>
          </w:tcPr>
          <w:p>
            <w:pPr>
              <w:widowControl/>
              <w:jc w:val="center"/>
              <w:rPr>
                <w:rFonts w:hint="eastAsia" w:asciiTheme="minorEastAsia" w:hAnsiTheme="minorEastAsia" w:eastAsiaTheme="minorEastAsia" w:cstheme="minorEastAsia"/>
                <w:kern w:val="0"/>
                <w:sz w:val="21"/>
                <w:szCs w:val="21"/>
              </w:rPr>
            </w:pPr>
          </w:p>
        </w:tc>
      </w:tr>
      <w:tr>
        <w:tblPrEx>
          <w:tblCellMar>
            <w:top w:w="0" w:type="dxa"/>
            <w:left w:w="0" w:type="dxa"/>
            <w:bottom w:w="0" w:type="dxa"/>
            <w:right w:w="0" w:type="dxa"/>
          </w:tblCellMar>
        </w:tblPrEx>
        <w:trPr>
          <w:trHeight w:val="567" w:hRule="atLeast"/>
          <w:jc w:val="center"/>
        </w:trPr>
        <w:tc>
          <w:tcPr>
            <w:tcW w:w="1168" w:type="dxa"/>
            <w:tcBorders>
              <w:top w:val="nil"/>
              <w:left w:val="single" w:color="000000" w:sz="12" w:space="0"/>
              <w:bottom w:val="single" w:color="000000" w:sz="8" w:space="0"/>
              <w:right w:val="single" w:color="000000" w:sz="8" w:space="0"/>
            </w:tcBorders>
            <w:shd w:val="clear" w:color="auto" w:fill="auto"/>
            <w:tcMar>
              <w:top w:w="15" w:type="dxa"/>
              <w:left w:w="15" w:type="dxa"/>
              <w:bottom w:w="15" w:type="dxa"/>
              <w:right w:w="15" w:type="dxa"/>
            </w:tcMar>
            <w:vAlign w:val="center"/>
          </w:tcPr>
          <w:p>
            <w:pPr>
              <w:numPr>
                <w:ilvl w:val="0"/>
                <w:numId w:val="1"/>
              </w:numPr>
              <w:ind w:left="0" w:leftChars="0" w:firstLine="0" w:firstLineChars="0"/>
              <w:jc w:val="center"/>
              <w:rPr>
                <w:rFonts w:hint="eastAsia" w:ascii="宋体" w:hAnsi="宋体" w:eastAsia="宋体" w:cs="宋体"/>
                <w:lang w:val="en-US" w:eastAsia="zh-CN"/>
              </w:rPr>
            </w:pPr>
          </w:p>
        </w:tc>
        <w:tc>
          <w:tcPr>
            <w:tcW w:w="2881" w:type="dxa"/>
            <w:gridSpan w:val="3"/>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widowControl/>
              <w:spacing w:line="240" w:lineRule="auto"/>
              <w:jc w:val="left"/>
              <w:rPr>
                <w:rFonts w:hint="eastAsia" w:asciiTheme="minorEastAsia" w:hAnsiTheme="minorEastAsia" w:eastAsiaTheme="minorEastAsia" w:cstheme="minorEastAsia"/>
                <w:sz w:val="21"/>
                <w:szCs w:val="21"/>
              </w:rPr>
            </w:pPr>
            <w:r>
              <w:t>建设单位对不符合民用建筑节能强制性标准的民用建筑项目出具竣工验收合格报告</w:t>
            </w:r>
          </w:p>
        </w:tc>
        <w:tc>
          <w:tcPr>
            <w:tcW w:w="1104" w:type="dxa"/>
            <w:gridSpan w:val="2"/>
            <w:tcBorders>
              <w:top w:val="nil"/>
              <w:left w:val="nil"/>
              <w:bottom w:val="single" w:color="000000" w:sz="8" w:space="0"/>
              <w:right w:val="single" w:color="auto" w:sz="8" w:space="0"/>
            </w:tcBorders>
            <w:shd w:val="clear" w:color="auto" w:fill="auto"/>
            <w:tcMar>
              <w:top w:w="15" w:type="dxa"/>
              <w:left w:w="15" w:type="dxa"/>
              <w:bottom w:w="15" w:type="dxa"/>
              <w:right w:w="15" w:type="dxa"/>
            </w:tcMar>
            <w:vAlign w:val="center"/>
          </w:tcPr>
          <w:p>
            <w:pPr>
              <w:widowControl/>
              <w:spacing w:line="240" w:lineRule="auto"/>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eastAsia="zh-CN"/>
              </w:rPr>
              <w:t>区住建局</w:t>
            </w:r>
          </w:p>
        </w:tc>
        <w:tc>
          <w:tcPr>
            <w:tcW w:w="200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spacing w:line="240" w:lineRule="auto"/>
              <w:jc w:val="both"/>
              <w:rPr>
                <w:rFonts w:hint="eastAsia" w:asciiTheme="minorEastAsia" w:hAnsiTheme="minorEastAsia" w:eastAsiaTheme="minorEastAsia" w:cstheme="minorEastAsia"/>
                <w:sz w:val="21"/>
                <w:szCs w:val="21"/>
              </w:rPr>
            </w:pPr>
            <w:r>
              <w:t>未造成危害后果或造成轻微、一般危害后果的</w:t>
            </w:r>
          </w:p>
        </w:tc>
        <w:tc>
          <w:tcPr>
            <w:tcW w:w="6301"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widowControl/>
              <w:spacing w:line="240" w:lineRule="auto"/>
              <w:jc w:val="both"/>
              <w:rPr>
                <w:rFonts w:hint="eastAsia" w:asciiTheme="minorEastAsia" w:hAnsiTheme="minorEastAsia" w:eastAsiaTheme="minorEastAsia" w:cstheme="minorEastAsia"/>
                <w:sz w:val="21"/>
                <w:szCs w:val="21"/>
              </w:rPr>
            </w:pPr>
            <w:r>
              <w:t>《民用建筑节能条例》第三十八条：违反本条例规定，建设单位对不符合民用建筑节能强制性标准的民用建筑项目出具竣工验收合格报告的，由县级以上地方人民政府建设主管部门责令改正，处民用建筑项目合同价款2%以上4%以下的罚款；造成损失的，依法承担赔偿责任。</w:t>
            </w:r>
          </w:p>
        </w:tc>
        <w:tc>
          <w:tcPr>
            <w:tcW w:w="952" w:type="dxa"/>
            <w:tcBorders>
              <w:top w:val="nil"/>
              <w:left w:val="nil"/>
              <w:bottom w:val="single" w:color="000000" w:sz="8" w:space="0"/>
              <w:right w:val="single" w:color="000000" w:sz="12" w:space="0"/>
            </w:tcBorders>
            <w:shd w:val="clear" w:color="auto" w:fill="auto"/>
            <w:tcMar>
              <w:top w:w="15" w:type="dxa"/>
              <w:left w:w="15" w:type="dxa"/>
              <w:bottom w:w="15" w:type="dxa"/>
              <w:right w:w="15" w:type="dxa"/>
            </w:tcMar>
            <w:vAlign w:val="center"/>
          </w:tcPr>
          <w:p>
            <w:pPr>
              <w:widowControl/>
              <w:jc w:val="center"/>
              <w:rPr>
                <w:rFonts w:hint="eastAsia" w:asciiTheme="minorEastAsia" w:hAnsiTheme="minorEastAsia" w:eastAsiaTheme="minorEastAsia" w:cstheme="minorEastAsia"/>
                <w:kern w:val="0"/>
                <w:sz w:val="21"/>
                <w:szCs w:val="21"/>
              </w:rPr>
            </w:pPr>
          </w:p>
        </w:tc>
      </w:tr>
      <w:tr>
        <w:tblPrEx>
          <w:tblCellMar>
            <w:top w:w="0" w:type="dxa"/>
            <w:left w:w="0" w:type="dxa"/>
            <w:bottom w:w="0" w:type="dxa"/>
            <w:right w:w="0" w:type="dxa"/>
          </w:tblCellMar>
        </w:tblPrEx>
        <w:trPr>
          <w:trHeight w:val="567" w:hRule="atLeast"/>
          <w:jc w:val="center"/>
        </w:trPr>
        <w:tc>
          <w:tcPr>
            <w:tcW w:w="1168" w:type="dxa"/>
            <w:tcBorders>
              <w:top w:val="nil"/>
              <w:left w:val="single" w:color="000000" w:sz="12" w:space="0"/>
              <w:bottom w:val="single" w:color="000000" w:sz="8" w:space="0"/>
              <w:right w:val="single" w:color="000000" w:sz="8" w:space="0"/>
            </w:tcBorders>
            <w:shd w:val="clear" w:color="auto" w:fill="auto"/>
            <w:tcMar>
              <w:top w:w="15" w:type="dxa"/>
              <w:left w:w="15" w:type="dxa"/>
              <w:bottom w:w="15" w:type="dxa"/>
              <w:right w:w="15" w:type="dxa"/>
            </w:tcMar>
            <w:vAlign w:val="center"/>
          </w:tcPr>
          <w:p>
            <w:pPr>
              <w:numPr>
                <w:ilvl w:val="0"/>
                <w:numId w:val="1"/>
              </w:numPr>
              <w:ind w:left="0" w:leftChars="0" w:firstLine="0" w:firstLineChars="0"/>
              <w:jc w:val="center"/>
              <w:rPr>
                <w:rFonts w:hint="eastAsia" w:ascii="宋体" w:hAnsi="宋体" w:eastAsia="宋体" w:cs="宋体"/>
                <w:lang w:val="en-US" w:eastAsia="zh-CN"/>
              </w:rPr>
            </w:pPr>
          </w:p>
        </w:tc>
        <w:tc>
          <w:tcPr>
            <w:tcW w:w="2881" w:type="dxa"/>
            <w:gridSpan w:val="3"/>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widowControl/>
              <w:spacing w:line="240" w:lineRule="auto"/>
              <w:jc w:val="left"/>
              <w:rPr>
                <w:rFonts w:hint="eastAsia" w:asciiTheme="minorEastAsia" w:hAnsiTheme="minorEastAsia" w:eastAsiaTheme="minorEastAsia" w:cstheme="minorEastAsia"/>
                <w:sz w:val="21"/>
                <w:szCs w:val="21"/>
              </w:rPr>
            </w:pPr>
            <w:r>
              <w:t>设计单位未按照民用建筑节能强制性标准进行设计，或者使用列入禁止使用目录的技术、工艺、材料和设备</w:t>
            </w:r>
          </w:p>
        </w:tc>
        <w:tc>
          <w:tcPr>
            <w:tcW w:w="1104" w:type="dxa"/>
            <w:gridSpan w:val="2"/>
            <w:tcBorders>
              <w:top w:val="nil"/>
              <w:left w:val="nil"/>
              <w:bottom w:val="single" w:color="000000" w:sz="8" w:space="0"/>
              <w:right w:val="single" w:color="auto" w:sz="8" w:space="0"/>
            </w:tcBorders>
            <w:shd w:val="clear" w:color="auto" w:fill="auto"/>
            <w:tcMar>
              <w:top w:w="15" w:type="dxa"/>
              <w:left w:w="15" w:type="dxa"/>
              <w:bottom w:w="15" w:type="dxa"/>
              <w:right w:w="15" w:type="dxa"/>
            </w:tcMar>
            <w:vAlign w:val="center"/>
          </w:tcPr>
          <w:p>
            <w:pPr>
              <w:widowControl/>
              <w:spacing w:line="240" w:lineRule="auto"/>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eastAsia="zh-CN"/>
              </w:rPr>
              <w:t>区住建局</w:t>
            </w:r>
          </w:p>
        </w:tc>
        <w:tc>
          <w:tcPr>
            <w:tcW w:w="200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spacing w:line="240" w:lineRule="auto"/>
              <w:jc w:val="both"/>
              <w:rPr>
                <w:rFonts w:hint="eastAsia" w:asciiTheme="minorEastAsia" w:hAnsiTheme="minorEastAsia" w:eastAsiaTheme="minorEastAsia" w:cstheme="minorEastAsia"/>
                <w:sz w:val="21"/>
                <w:szCs w:val="21"/>
              </w:rPr>
            </w:pPr>
            <w:r>
              <w:t>同一项目中，未按照1条民用建筑节能强制性标准进行设计；或使用1种列入禁止使用目录的技术、工艺、材料和设备</w:t>
            </w:r>
          </w:p>
        </w:tc>
        <w:tc>
          <w:tcPr>
            <w:tcW w:w="6301"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widowControl/>
              <w:spacing w:line="240" w:lineRule="auto"/>
              <w:jc w:val="both"/>
              <w:rPr>
                <w:rFonts w:hint="eastAsia" w:asciiTheme="minorEastAsia" w:hAnsiTheme="minorEastAsia" w:eastAsiaTheme="minorEastAsia" w:cstheme="minorEastAsia"/>
                <w:sz w:val="21"/>
                <w:szCs w:val="21"/>
              </w:rPr>
            </w:pPr>
            <w:r>
              <w:t>《民用建筑节能条例》第三十九条：违反本条例规定，设计单位未按照民用建筑节能强制性标准进行设计，或者使用列入禁止使用目录的技术、工艺、材料和设备的，由县级以上地方人民政府建设主管部门责令改正，处10万元以上30万元以下的罚款；情节严重的，由颁发资质证书的部门责令停业整顿，降低资质等级或者吊销资质证书；造成损失的，依法承担赔偿责任。</w:t>
            </w:r>
          </w:p>
        </w:tc>
        <w:tc>
          <w:tcPr>
            <w:tcW w:w="952" w:type="dxa"/>
            <w:tcBorders>
              <w:top w:val="nil"/>
              <w:left w:val="nil"/>
              <w:bottom w:val="single" w:color="000000" w:sz="8" w:space="0"/>
              <w:right w:val="single" w:color="000000" w:sz="12" w:space="0"/>
            </w:tcBorders>
            <w:shd w:val="clear" w:color="auto" w:fill="auto"/>
            <w:tcMar>
              <w:top w:w="15" w:type="dxa"/>
              <w:left w:w="15" w:type="dxa"/>
              <w:bottom w:w="15" w:type="dxa"/>
              <w:right w:w="15" w:type="dxa"/>
            </w:tcMar>
            <w:vAlign w:val="center"/>
          </w:tcPr>
          <w:p>
            <w:pPr>
              <w:widowControl/>
              <w:jc w:val="center"/>
              <w:rPr>
                <w:rFonts w:hint="eastAsia" w:asciiTheme="minorEastAsia" w:hAnsiTheme="minorEastAsia" w:eastAsiaTheme="minorEastAsia" w:cstheme="minorEastAsia"/>
                <w:kern w:val="0"/>
                <w:sz w:val="21"/>
                <w:szCs w:val="21"/>
              </w:rPr>
            </w:pPr>
          </w:p>
        </w:tc>
      </w:tr>
      <w:tr>
        <w:tblPrEx>
          <w:tblCellMar>
            <w:top w:w="0" w:type="dxa"/>
            <w:left w:w="0" w:type="dxa"/>
            <w:bottom w:w="0" w:type="dxa"/>
            <w:right w:w="0" w:type="dxa"/>
          </w:tblCellMar>
        </w:tblPrEx>
        <w:trPr>
          <w:trHeight w:val="567" w:hRule="atLeast"/>
          <w:jc w:val="center"/>
        </w:trPr>
        <w:tc>
          <w:tcPr>
            <w:tcW w:w="1168" w:type="dxa"/>
            <w:tcBorders>
              <w:top w:val="nil"/>
              <w:left w:val="single" w:color="000000" w:sz="12" w:space="0"/>
              <w:bottom w:val="single" w:color="000000" w:sz="8" w:space="0"/>
              <w:right w:val="single" w:color="000000" w:sz="8" w:space="0"/>
            </w:tcBorders>
            <w:shd w:val="clear" w:color="auto" w:fill="auto"/>
            <w:tcMar>
              <w:top w:w="15" w:type="dxa"/>
              <w:left w:w="15" w:type="dxa"/>
              <w:bottom w:w="15" w:type="dxa"/>
              <w:right w:w="15" w:type="dxa"/>
            </w:tcMar>
            <w:vAlign w:val="center"/>
          </w:tcPr>
          <w:p>
            <w:pPr>
              <w:numPr>
                <w:ilvl w:val="0"/>
                <w:numId w:val="1"/>
              </w:numPr>
              <w:ind w:left="0" w:leftChars="0" w:firstLine="0" w:firstLineChars="0"/>
              <w:jc w:val="center"/>
              <w:rPr>
                <w:rFonts w:hint="eastAsia" w:ascii="宋体" w:hAnsi="宋体" w:eastAsia="宋体" w:cs="宋体"/>
                <w:lang w:val="en-US" w:eastAsia="zh-CN"/>
              </w:rPr>
            </w:pPr>
          </w:p>
        </w:tc>
        <w:tc>
          <w:tcPr>
            <w:tcW w:w="2881" w:type="dxa"/>
            <w:gridSpan w:val="3"/>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widowControl/>
              <w:spacing w:line="240" w:lineRule="auto"/>
              <w:jc w:val="left"/>
              <w:rPr>
                <w:rFonts w:hint="eastAsia" w:asciiTheme="minorEastAsia" w:hAnsiTheme="minorEastAsia" w:eastAsiaTheme="minorEastAsia" w:cstheme="minorEastAsia"/>
                <w:sz w:val="21"/>
                <w:szCs w:val="21"/>
              </w:rPr>
            </w:pPr>
            <w:r>
              <w:t>施工单位未按照民用建筑节能强制性标准进行施工</w:t>
            </w:r>
          </w:p>
        </w:tc>
        <w:tc>
          <w:tcPr>
            <w:tcW w:w="1104" w:type="dxa"/>
            <w:gridSpan w:val="2"/>
            <w:tcBorders>
              <w:top w:val="nil"/>
              <w:left w:val="nil"/>
              <w:bottom w:val="single" w:color="000000" w:sz="8" w:space="0"/>
              <w:right w:val="single" w:color="auto" w:sz="8" w:space="0"/>
            </w:tcBorders>
            <w:shd w:val="clear" w:color="auto" w:fill="auto"/>
            <w:tcMar>
              <w:top w:w="15" w:type="dxa"/>
              <w:left w:w="15" w:type="dxa"/>
              <w:bottom w:w="15" w:type="dxa"/>
              <w:right w:w="15" w:type="dxa"/>
            </w:tcMar>
            <w:vAlign w:val="center"/>
          </w:tcPr>
          <w:p>
            <w:pPr>
              <w:widowControl/>
              <w:spacing w:line="240" w:lineRule="auto"/>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eastAsia="zh-CN"/>
              </w:rPr>
              <w:t>区住建局</w:t>
            </w:r>
          </w:p>
        </w:tc>
        <w:tc>
          <w:tcPr>
            <w:tcW w:w="200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spacing w:line="240" w:lineRule="auto"/>
              <w:jc w:val="both"/>
              <w:rPr>
                <w:rFonts w:hint="eastAsia" w:asciiTheme="minorEastAsia" w:hAnsiTheme="minorEastAsia" w:eastAsiaTheme="minorEastAsia" w:cstheme="minorEastAsia"/>
                <w:sz w:val="21"/>
                <w:szCs w:val="21"/>
              </w:rPr>
            </w:pPr>
            <w:r>
              <w:t>同一项目中，未按照1条民用建筑节能强制性标准进行施工</w:t>
            </w:r>
          </w:p>
        </w:tc>
        <w:tc>
          <w:tcPr>
            <w:tcW w:w="6301"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widowControl/>
              <w:spacing w:line="240" w:lineRule="auto"/>
              <w:jc w:val="both"/>
              <w:rPr>
                <w:rFonts w:hint="eastAsia" w:asciiTheme="minorEastAsia" w:hAnsiTheme="minorEastAsia" w:eastAsiaTheme="minorEastAsia" w:cstheme="minorEastAsia"/>
                <w:sz w:val="21"/>
                <w:szCs w:val="21"/>
              </w:rPr>
            </w:pPr>
            <w:r>
              <w:t>《民用建筑节能条例》第四十条：违反本条例规定，施工单位未按照民用建筑节能强制性标准进行施工的，由县级以上地方人民政府建设主管部门责令改正，处民用建筑项目合同价款2%以上4%以下的罚款；情节严重的，由颁发资质证书的部门责令停业整顿，降低资质等级或者吊销资质证书；造成损失的，依法承担赔偿责任。</w:t>
            </w:r>
          </w:p>
        </w:tc>
        <w:tc>
          <w:tcPr>
            <w:tcW w:w="952" w:type="dxa"/>
            <w:tcBorders>
              <w:top w:val="nil"/>
              <w:left w:val="nil"/>
              <w:bottom w:val="single" w:color="000000" w:sz="8" w:space="0"/>
              <w:right w:val="single" w:color="000000" w:sz="12" w:space="0"/>
            </w:tcBorders>
            <w:shd w:val="clear" w:color="auto" w:fill="auto"/>
            <w:tcMar>
              <w:top w:w="15" w:type="dxa"/>
              <w:left w:w="15" w:type="dxa"/>
              <w:bottom w:w="15" w:type="dxa"/>
              <w:right w:w="15" w:type="dxa"/>
            </w:tcMar>
            <w:vAlign w:val="center"/>
          </w:tcPr>
          <w:p>
            <w:pPr>
              <w:widowControl/>
              <w:jc w:val="center"/>
              <w:rPr>
                <w:rFonts w:hint="eastAsia" w:asciiTheme="minorEastAsia" w:hAnsiTheme="minorEastAsia" w:eastAsiaTheme="minorEastAsia" w:cstheme="minorEastAsia"/>
                <w:kern w:val="0"/>
                <w:sz w:val="21"/>
                <w:szCs w:val="21"/>
              </w:rPr>
            </w:pPr>
          </w:p>
        </w:tc>
      </w:tr>
      <w:tr>
        <w:tblPrEx>
          <w:tblCellMar>
            <w:top w:w="0" w:type="dxa"/>
            <w:left w:w="0" w:type="dxa"/>
            <w:bottom w:w="0" w:type="dxa"/>
            <w:right w:w="0" w:type="dxa"/>
          </w:tblCellMar>
        </w:tblPrEx>
        <w:trPr>
          <w:trHeight w:val="567" w:hRule="atLeast"/>
          <w:jc w:val="center"/>
        </w:trPr>
        <w:tc>
          <w:tcPr>
            <w:tcW w:w="1168" w:type="dxa"/>
            <w:tcBorders>
              <w:top w:val="nil"/>
              <w:left w:val="single" w:color="000000" w:sz="12" w:space="0"/>
              <w:bottom w:val="single" w:color="000000" w:sz="8" w:space="0"/>
              <w:right w:val="single" w:color="000000" w:sz="8" w:space="0"/>
            </w:tcBorders>
            <w:shd w:val="clear" w:color="auto" w:fill="auto"/>
            <w:tcMar>
              <w:top w:w="15" w:type="dxa"/>
              <w:left w:w="15" w:type="dxa"/>
              <w:bottom w:w="15" w:type="dxa"/>
              <w:right w:w="15" w:type="dxa"/>
            </w:tcMar>
            <w:vAlign w:val="center"/>
          </w:tcPr>
          <w:p>
            <w:pPr>
              <w:numPr>
                <w:ilvl w:val="0"/>
                <w:numId w:val="1"/>
              </w:numPr>
              <w:ind w:left="0" w:leftChars="0" w:firstLine="0" w:firstLineChars="0"/>
              <w:jc w:val="center"/>
              <w:rPr>
                <w:rFonts w:hint="eastAsia" w:ascii="宋体" w:hAnsi="宋体" w:eastAsia="宋体" w:cs="宋体"/>
                <w:lang w:val="en-US" w:eastAsia="zh-CN"/>
              </w:rPr>
            </w:pPr>
          </w:p>
        </w:tc>
        <w:tc>
          <w:tcPr>
            <w:tcW w:w="2881" w:type="dxa"/>
            <w:gridSpan w:val="3"/>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widowControl/>
              <w:spacing w:line="240" w:lineRule="auto"/>
              <w:jc w:val="left"/>
              <w:rPr>
                <w:rFonts w:hint="eastAsia" w:asciiTheme="minorEastAsia" w:hAnsiTheme="minorEastAsia" w:eastAsiaTheme="minorEastAsia" w:cstheme="minorEastAsia"/>
                <w:sz w:val="21"/>
                <w:szCs w:val="21"/>
              </w:rPr>
            </w:pPr>
            <w:r>
              <w:t>施工单位未对进入施工现场的墙体材料、保温材料、门窗、采暖制冷系统和照明设备进行查验</w:t>
            </w:r>
          </w:p>
        </w:tc>
        <w:tc>
          <w:tcPr>
            <w:tcW w:w="1104" w:type="dxa"/>
            <w:gridSpan w:val="2"/>
            <w:tcBorders>
              <w:top w:val="nil"/>
              <w:left w:val="nil"/>
              <w:bottom w:val="single" w:color="000000" w:sz="8" w:space="0"/>
              <w:right w:val="single" w:color="auto" w:sz="8" w:space="0"/>
            </w:tcBorders>
            <w:shd w:val="clear" w:color="auto" w:fill="auto"/>
            <w:tcMar>
              <w:top w:w="15" w:type="dxa"/>
              <w:left w:w="15" w:type="dxa"/>
              <w:bottom w:w="15" w:type="dxa"/>
              <w:right w:w="15" w:type="dxa"/>
            </w:tcMar>
            <w:vAlign w:val="center"/>
          </w:tcPr>
          <w:p>
            <w:pPr>
              <w:widowControl/>
              <w:spacing w:line="240" w:lineRule="auto"/>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eastAsia="zh-CN"/>
              </w:rPr>
              <w:t>区住建局</w:t>
            </w:r>
          </w:p>
        </w:tc>
        <w:tc>
          <w:tcPr>
            <w:tcW w:w="200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spacing w:line="240" w:lineRule="auto"/>
              <w:jc w:val="both"/>
              <w:rPr>
                <w:rFonts w:hint="eastAsia" w:asciiTheme="minorEastAsia" w:hAnsiTheme="minorEastAsia" w:eastAsiaTheme="minorEastAsia" w:cstheme="minorEastAsia"/>
                <w:sz w:val="21"/>
                <w:szCs w:val="21"/>
              </w:rPr>
            </w:pPr>
            <w:r>
              <w:t>同一项目中，1年内1次违反进场材料检验、施工图设计文件、使用材料等方面规定的</w:t>
            </w:r>
          </w:p>
        </w:tc>
        <w:tc>
          <w:tcPr>
            <w:tcW w:w="6301"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widowControl/>
              <w:spacing w:line="240" w:lineRule="auto"/>
              <w:jc w:val="both"/>
              <w:rPr>
                <w:rFonts w:hint="eastAsia" w:asciiTheme="minorEastAsia" w:hAnsiTheme="minorEastAsia" w:eastAsiaTheme="minorEastAsia" w:cstheme="minorEastAsia"/>
                <w:sz w:val="21"/>
                <w:szCs w:val="21"/>
              </w:rPr>
            </w:pPr>
            <w:r>
              <w:t>《民用建筑节能条例》第四十一条：违反本条例规定，施工单位有下列行为之一的，由县级以上地方人民政府建设主管部门责令改正，处10万元以上20万元以下的罚款；情节严重的，由颁发资质证书的部门责令停业整顿，降低资质等级或者吊销资质证书；造成损失的，依法承担赔偿责任：（一）未对进入施工现场的墙体材料、保温材料、门窗、采暖制冷系统和照明设备进行查验的。</w:t>
            </w:r>
            <w:r>
              <w:br w:type="textWrapping"/>
            </w:r>
          </w:p>
        </w:tc>
        <w:tc>
          <w:tcPr>
            <w:tcW w:w="952" w:type="dxa"/>
            <w:tcBorders>
              <w:top w:val="nil"/>
              <w:left w:val="nil"/>
              <w:bottom w:val="single" w:color="000000" w:sz="8" w:space="0"/>
              <w:right w:val="single" w:color="000000" w:sz="12" w:space="0"/>
            </w:tcBorders>
            <w:shd w:val="clear" w:color="auto" w:fill="auto"/>
            <w:tcMar>
              <w:top w:w="15" w:type="dxa"/>
              <w:left w:w="15" w:type="dxa"/>
              <w:bottom w:w="15" w:type="dxa"/>
              <w:right w:w="15" w:type="dxa"/>
            </w:tcMar>
            <w:vAlign w:val="center"/>
          </w:tcPr>
          <w:p>
            <w:pPr>
              <w:widowControl/>
              <w:jc w:val="center"/>
              <w:rPr>
                <w:rFonts w:hint="eastAsia" w:asciiTheme="minorEastAsia" w:hAnsiTheme="minorEastAsia" w:eastAsiaTheme="minorEastAsia" w:cstheme="minorEastAsia"/>
                <w:kern w:val="0"/>
                <w:sz w:val="21"/>
                <w:szCs w:val="21"/>
              </w:rPr>
            </w:pPr>
          </w:p>
        </w:tc>
      </w:tr>
      <w:tr>
        <w:tblPrEx>
          <w:tblCellMar>
            <w:top w:w="0" w:type="dxa"/>
            <w:left w:w="0" w:type="dxa"/>
            <w:bottom w:w="0" w:type="dxa"/>
            <w:right w:w="0" w:type="dxa"/>
          </w:tblCellMar>
        </w:tblPrEx>
        <w:trPr>
          <w:trHeight w:val="567" w:hRule="atLeast"/>
          <w:jc w:val="center"/>
        </w:trPr>
        <w:tc>
          <w:tcPr>
            <w:tcW w:w="1168" w:type="dxa"/>
            <w:tcBorders>
              <w:top w:val="nil"/>
              <w:left w:val="single" w:color="000000" w:sz="12" w:space="0"/>
              <w:bottom w:val="single" w:color="000000" w:sz="8" w:space="0"/>
              <w:right w:val="single" w:color="000000" w:sz="8" w:space="0"/>
            </w:tcBorders>
            <w:shd w:val="clear" w:color="auto" w:fill="auto"/>
            <w:tcMar>
              <w:top w:w="15" w:type="dxa"/>
              <w:left w:w="15" w:type="dxa"/>
              <w:bottom w:w="15" w:type="dxa"/>
              <w:right w:w="15" w:type="dxa"/>
            </w:tcMar>
            <w:vAlign w:val="center"/>
          </w:tcPr>
          <w:p>
            <w:pPr>
              <w:numPr>
                <w:ilvl w:val="0"/>
                <w:numId w:val="1"/>
              </w:numPr>
              <w:ind w:left="0" w:leftChars="0" w:firstLine="0" w:firstLineChars="0"/>
              <w:jc w:val="center"/>
              <w:rPr>
                <w:rFonts w:hint="eastAsia" w:ascii="宋体" w:hAnsi="宋体" w:eastAsia="宋体" w:cs="宋体"/>
                <w:lang w:val="en-US" w:eastAsia="zh-CN"/>
              </w:rPr>
            </w:pPr>
          </w:p>
        </w:tc>
        <w:tc>
          <w:tcPr>
            <w:tcW w:w="2881" w:type="dxa"/>
            <w:gridSpan w:val="3"/>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widowControl/>
              <w:spacing w:line="240" w:lineRule="auto"/>
              <w:jc w:val="left"/>
              <w:rPr>
                <w:rFonts w:hint="eastAsia" w:asciiTheme="minorEastAsia" w:hAnsiTheme="minorEastAsia" w:eastAsiaTheme="minorEastAsia" w:cstheme="minorEastAsia"/>
                <w:sz w:val="21"/>
                <w:szCs w:val="21"/>
              </w:rPr>
            </w:pPr>
            <w:r>
              <w:t>施工单位使用不符合施工图设计文件要求的墙体材料、保温材料、门窗、采暖制冷系统和照明设备</w:t>
            </w:r>
          </w:p>
        </w:tc>
        <w:tc>
          <w:tcPr>
            <w:tcW w:w="1104" w:type="dxa"/>
            <w:gridSpan w:val="2"/>
            <w:tcBorders>
              <w:top w:val="nil"/>
              <w:left w:val="nil"/>
              <w:bottom w:val="single" w:color="000000" w:sz="8" w:space="0"/>
              <w:right w:val="single" w:color="auto" w:sz="8" w:space="0"/>
            </w:tcBorders>
            <w:shd w:val="clear" w:color="auto" w:fill="auto"/>
            <w:tcMar>
              <w:top w:w="15" w:type="dxa"/>
              <w:left w:w="15" w:type="dxa"/>
              <w:bottom w:w="15" w:type="dxa"/>
              <w:right w:w="15" w:type="dxa"/>
            </w:tcMar>
            <w:vAlign w:val="center"/>
          </w:tcPr>
          <w:p>
            <w:pPr>
              <w:widowControl/>
              <w:spacing w:line="240" w:lineRule="auto"/>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eastAsia="zh-CN"/>
              </w:rPr>
              <w:t>区住建局</w:t>
            </w:r>
          </w:p>
        </w:tc>
        <w:tc>
          <w:tcPr>
            <w:tcW w:w="200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spacing w:line="240" w:lineRule="auto"/>
              <w:jc w:val="both"/>
              <w:rPr>
                <w:rFonts w:hint="eastAsia" w:asciiTheme="minorEastAsia" w:hAnsiTheme="minorEastAsia" w:eastAsiaTheme="minorEastAsia" w:cstheme="minorEastAsia"/>
                <w:sz w:val="21"/>
                <w:szCs w:val="21"/>
              </w:rPr>
            </w:pPr>
            <w:r>
              <w:t>同一项目中，1年内1次违反进场材料检验、施工图设计文件、使用材料等方面规定的</w:t>
            </w:r>
          </w:p>
        </w:tc>
        <w:tc>
          <w:tcPr>
            <w:tcW w:w="6301"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widowControl/>
              <w:spacing w:line="240" w:lineRule="auto"/>
              <w:jc w:val="both"/>
              <w:rPr>
                <w:rFonts w:hint="eastAsia" w:asciiTheme="minorEastAsia" w:hAnsiTheme="minorEastAsia" w:eastAsiaTheme="minorEastAsia" w:cstheme="minorEastAsia"/>
                <w:sz w:val="21"/>
                <w:szCs w:val="21"/>
              </w:rPr>
            </w:pPr>
            <w:r>
              <w:t>《民用建筑节能条例》第四十一条：违反本条例规定，施工单位有下列行为之一的，由县级以上地方人民政府建设主管部门责令改正，处10万元以上20万元以下的罚款；情节严重的，由颁发资质证书的部门责令停业整顿，降低资质等级或者吊销资质证书；造成损失的，依法承担赔偿责任：（二）使用不符合施工图设计文件要求的墙体材料、保温材料、门窗、采暖制冷系统和照明设备的。</w:t>
            </w:r>
          </w:p>
        </w:tc>
        <w:tc>
          <w:tcPr>
            <w:tcW w:w="952" w:type="dxa"/>
            <w:tcBorders>
              <w:top w:val="nil"/>
              <w:left w:val="nil"/>
              <w:bottom w:val="single" w:color="000000" w:sz="8" w:space="0"/>
              <w:right w:val="single" w:color="000000" w:sz="12" w:space="0"/>
            </w:tcBorders>
            <w:shd w:val="clear" w:color="auto" w:fill="auto"/>
            <w:tcMar>
              <w:top w:w="15" w:type="dxa"/>
              <w:left w:w="15" w:type="dxa"/>
              <w:bottom w:w="15" w:type="dxa"/>
              <w:right w:w="15" w:type="dxa"/>
            </w:tcMar>
            <w:vAlign w:val="center"/>
          </w:tcPr>
          <w:p>
            <w:pPr>
              <w:widowControl/>
              <w:jc w:val="center"/>
              <w:rPr>
                <w:rFonts w:hint="eastAsia" w:asciiTheme="minorEastAsia" w:hAnsiTheme="minorEastAsia" w:eastAsiaTheme="minorEastAsia" w:cstheme="minorEastAsia"/>
                <w:kern w:val="0"/>
                <w:sz w:val="21"/>
                <w:szCs w:val="21"/>
              </w:rPr>
            </w:pPr>
          </w:p>
        </w:tc>
      </w:tr>
      <w:tr>
        <w:tblPrEx>
          <w:tblCellMar>
            <w:top w:w="0" w:type="dxa"/>
            <w:left w:w="0" w:type="dxa"/>
            <w:bottom w:w="0" w:type="dxa"/>
            <w:right w:w="0" w:type="dxa"/>
          </w:tblCellMar>
        </w:tblPrEx>
        <w:trPr>
          <w:trHeight w:val="567" w:hRule="atLeast"/>
          <w:jc w:val="center"/>
        </w:trPr>
        <w:tc>
          <w:tcPr>
            <w:tcW w:w="1168" w:type="dxa"/>
            <w:tcBorders>
              <w:top w:val="nil"/>
              <w:left w:val="single" w:color="000000" w:sz="12" w:space="0"/>
              <w:bottom w:val="single" w:color="000000" w:sz="8" w:space="0"/>
              <w:right w:val="single" w:color="000000" w:sz="8" w:space="0"/>
            </w:tcBorders>
            <w:shd w:val="clear" w:color="auto" w:fill="auto"/>
            <w:tcMar>
              <w:top w:w="15" w:type="dxa"/>
              <w:left w:w="15" w:type="dxa"/>
              <w:bottom w:w="15" w:type="dxa"/>
              <w:right w:w="15" w:type="dxa"/>
            </w:tcMar>
            <w:vAlign w:val="center"/>
          </w:tcPr>
          <w:p>
            <w:pPr>
              <w:numPr>
                <w:ilvl w:val="0"/>
                <w:numId w:val="1"/>
              </w:numPr>
              <w:ind w:left="0" w:leftChars="0" w:firstLine="0" w:firstLineChars="0"/>
              <w:jc w:val="center"/>
              <w:rPr>
                <w:rFonts w:hint="eastAsia" w:ascii="宋体" w:hAnsi="宋体" w:eastAsia="宋体" w:cs="宋体"/>
                <w:lang w:val="en-US" w:eastAsia="zh-CN"/>
              </w:rPr>
            </w:pPr>
          </w:p>
        </w:tc>
        <w:tc>
          <w:tcPr>
            <w:tcW w:w="2881" w:type="dxa"/>
            <w:gridSpan w:val="3"/>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widowControl/>
              <w:spacing w:line="240" w:lineRule="auto"/>
              <w:jc w:val="left"/>
              <w:rPr>
                <w:rFonts w:hint="eastAsia" w:asciiTheme="minorEastAsia" w:hAnsiTheme="minorEastAsia" w:eastAsiaTheme="minorEastAsia" w:cstheme="minorEastAsia"/>
                <w:sz w:val="21"/>
                <w:szCs w:val="21"/>
              </w:rPr>
            </w:pPr>
            <w:r>
              <w:t>施工单位使用列入禁止使用目录的技术、工艺、材料和设备</w:t>
            </w:r>
          </w:p>
        </w:tc>
        <w:tc>
          <w:tcPr>
            <w:tcW w:w="1104" w:type="dxa"/>
            <w:gridSpan w:val="2"/>
            <w:tcBorders>
              <w:top w:val="nil"/>
              <w:left w:val="nil"/>
              <w:bottom w:val="single" w:color="000000" w:sz="8" w:space="0"/>
              <w:right w:val="single" w:color="auto" w:sz="8" w:space="0"/>
            </w:tcBorders>
            <w:shd w:val="clear" w:color="auto" w:fill="auto"/>
            <w:tcMar>
              <w:top w:w="15" w:type="dxa"/>
              <w:left w:w="15" w:type="dxa"/>
              <w:bottom w:w="15" w:type="dxa"/>
              <w:right w:w="15" w:type="dxa"/>
            </w:tcMar>
            <w:vAlign w:val="center"/>
          </w:tcPr>
          <w:p>
            <w:pPr>
              <w:widowControl/>
              <w:spacing w:line="240" w:lineRule="auto"/>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eastAsia="zh-CN"/>
              </w:rPr>
              <w:t>区住建局</w:t>
            </w:r>
          </w:p>
        </w:tc>
        <w:tc>
          <w:tcPr>
            <w:tcW w:w="200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spacing w:line="240" w:lineRule="auto"/>
              <w:jc w:val="both"/>
              <w:rPr>
                <w:rFonts w:hint="eastAsia" w:asciiTheme="minorEastAsia" w:hAnsiTheme="minorEastAsia" w:eastAsiaTheme="minorEastAsia" w:cstheme="minorEastAsia"/>
                <w:sz w:val="21"/>
                <w:szCs w:val="21"/>
              </w:rPr>
            </w:pPr>
            <w:r>
              <w:t>同一项目中，1年内1次违反进场材料检验、施工图设计文件、使用材料等方面规定的</w:t>
            </w:r>
          </w:p>
        </w:tc>
        <w:tc>
          <w:tcPr>
            <w:tcW w:w="6301"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widowControl/>
              <w:spacing w:line="240" w:lineRule="auto"/>
              <w:jc w:val="both"/>
              <w:rPr>
                <w:rFonts w:hint="eastAsia" w:asciiTheme="minorEastAsia" w:hAnsiTheme="minorEastAsia" w:eastAsiaTheme="minorEastAsia" w:cstheme="minorEastAsia"/>
                <w:sz w:val="21"/>
                <w:szCs w:val="21"/>
              </w:rPr>
            </w:pPr>
            <w:r>
              <w:t>《民用建筑节能条例》第四十一条：违反本条例规定，施工单位有下列行为之一的，由县级以上地方人民政府建设主管部门责令改正，处10万元以上20万元以下的罚款；情节严重的，由颁发资质证书的部门责令停业整顿，降低资质等级或者吊销资质证书；造成损失的，依法承担赔偿责任：（三）使用列入禁止使用目录的技术、工艺、材料和设备的。</w:t>
            </w:r>
          </w:p>
        </w:tc>
        <w:tc>
          <w:tcPr>
            <w:tcW w:w="952" w:type="dxa"/>
            <w:tcBorders>
              <w:top w:val="nil"/>
              <w:left w:val="nil"/>
              <w:bottom w:val="single" w:color="000000" w:sz="8" w:space="0"/>
              <w:right w:val="single" w:color="000000" w:sz="12" w:space="0"/>
            </w:tcBorders>
            <w:shd w:val="clear" w:color="auto" w:fill="auto"/>
            <w:tcMar>
              <w:top w:w="15" w:type="dxa"/>
              <w:left w:w="15" w:type="dxa"/>
              <w:bottom w:w="15" w:type="dxa"/>
              <w:right w:w="15" w:type="dxa"/>
            </w:tcMar>
            <w:vAlign w:val="center"/>
          </w:tcPr>
          <w:p>
            <w:pPr>
              <w:widowControl/>
              <w:jc w:val="center"/>
              <w:rPr>
                <w:rFonts w:hint="eastAsia" w:asciiTheme="minorEastAsia" w:hAnsiTheme="minorEastAsia" w:eastAsiaTheme="minorEastAsia" w:cstheme="minorEastAsia"/>
                <w:kern w:val="0"/>
                <w:sz w:val="21"/>
                <w:szCs w:val="21"/>
              </w:rPr>
            </w:pPr>
          </w:p>
        </w:tc>
      </w:tr>
      <w:tr>
        <w:tblPrEx>
          <w:tblCellMar>
            <w:top w:w="0" w:type="dxa"/>
            <w:left w:w="0" w:type="dxa"/>
            <w:bottom w:w="0" w:type="dxa"/>
            <w:right w:w="0" w:type="dxa"/>
          </w:tblCellMar>
        </w:tblPrEx>
        <w:trPr>
          <w:trHeight w:val="567" w:hRule="atLeast"/>
          <w:jc w:val="center"/>
        </w:trPr>
        <w:tc>
          <w:tcPr>
            <w:tcW w:w="1168" w:type="dxa"/>
            <w:tcBorders>
              <w:top w:val="nil"/>
              <w:left w:val="single" w:color="000000" w:sz="12" w:space="0"/>
              <w:bottom w:val="single" w:color="000000" w:sz="8" w:space="0"/>
              <w:right w:val="single" w:color="000000" w:sz="8" w:space="0"/>
            </w:tcBorders>
            <w:shd w:val="clear" w:color="auto" w:fill="auto"/>
            <w:tcMar>
              <w:top w:w="15" w:type="dxa"/>
              <w:left w:w="15" w:type="dxa"/>
              <w:bottom w:w="15" w:type="dxa"/>
              <w:right w:w="15" w:type="dxa"/>
            </w:tcMar>
            <w:vAlign w:val="center"/>
          </w:tcPr>
          <w:p>
            <w:pPr>
              <w:numPr>
                <w:ilvl w:val="0"/>
                <w:numId w:val="1"/>
              </w:numPr>
              <w:ind w:left="0" w:leftChars="0" w:firstLine="0" w:firstLineChars="0"/>
              <w:jc w:val="center"/>
              <w:rPr>
                <w:rFonts w:hint="eastAsia" w:ascii="宋体" w:hAnsi="宋体" w:eastAsia="宋体" w:cs="宋体"/>
                <w:lang w:val="en-US" w:eastAsia="zh-CN"/>
              </w:rPr>
            </w:pPr>
          </w:p>
        </w:tc>
        <w:tc>
          <w:tcPr>
            <w:tcW w:w="2881" w:type="dxa"/>
            <w:gridSpan w:val="3"/>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widowControl/>
              <w:spacing w:line="240" w:lineRule="auto"/>
              <w:jc w:val="left"/>
              <w:rPr>
                <w:rFonts w:hint="eastAsia" w:asciiTheme="minorEastAsia" w:hAnsiTheme="minorEastAsia" w:eastAsiaTheme="minorEastAsia" w:cstheme="minorEastAsia"/>
                <w:sz w:val="21"/>
                <w:szCs w:val="21"/>
              </w:rPr>
            </w:pPr>
            <w:r>
              <w:t>工程监理单位未按照民用建筑节能强制性标准实施监理</w:t>
            </w:r>
          </w:p>
        </w:tc>
        <w:tc>
          <w:tcPr>
            <w:tcW w:w="1104" w:type="dxa"/>
            <w:gridSpan w:val="2"/>
            <w:tcBorders>
              <w:top w:val="nil"/>
              <w:left w:val="nil"/>
              <w:bottom w:val="single" w:color="000000" w:sz="8" w:space="0"/>
              <w:right w:val="single" w:color="auto" w:sz="8" w:space="0"/>
            </w:tcBorders>
            <w:shd w:val="clear" w:color="auto" w:fill="auto"/>
            <w:tcMar>
              <w:top w:w="15" w:type="dxa"/>
              <w:left w:w="15" w:type="dxa"/>
              <w:bottom w:w="15" w:type="dxa"/>
              <w:right w:w="15" w:type="dxa"/>
            </w:tcMar>
            <w:vAlign w:val="center"/>
          </w:tcPr>
          <w:p>
            <w:pPr>
              <w:widowControl/>
              <w:spacing w:line="240" w:lineRule="auto"/>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eastAsia="zh-CN"/>
              </w:rPr>
              <w:t>区住建局</w:t>
            </w:r>
          </w:p>
        </w:tc>
        <w:tc>
          <w:tcPr>
            <w:tcW w:w="200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spacing w:line="240" w:lineRule="auto"/>
              <w:jc w:val="both"/>
              <w:rPr>
                <w:rFonts w:hint="eastAsia" w:asciiTheme="minorEastAsia" w:hAnsiTheme="minorEastAsia" w:eastAsiaTheme="minorEastAsia" w:cstheme="minorEastAsia"/>
                <w:sz w:val="21"/>
                <w:szCs w:val="21"/>
              </w:rPr>
            </w:pPr>
            <w:r>
              <w:t>同一项目中，未按照1条民用建筑节能强制性标准进行监理</w:t>
            </w:r>
          </w:p>
        </w:tc>
        <w:tc>
          <w:tcPr>
            <w:tcW w:w="6301"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widowControl/>
              <w:spacing w:line="240" w:lineRule="auto"/>
              <w:jc w:val="both"/>
              <w:rPr>
                <w:rFonts w:hint="eastAsia" w:asciiTheme="minorEastAsia" w:hAnsiTheme="minorEastAsia" w:eastAsiaTheme="minorEastAsia" w:cstheme="minorEastAsia"/>
                <w:sz w:val="21"/>
                <w:szCs w:val="21"/>
              </w:rPr>
            </w:pPr>
            <w:r>
              <w:rPr>
                <w:rFonts w:ascii="Times New Roman" w:hAnsi="Times New Roman" w:eastAsiaTheme="minorEastAsia" w:cstheme="minorBidi"/>
                <w:kern w:val="0"/>
                <w:sz w:val="21"/>
                <w:szCs w:val="22"/>
                <w:lang w:val="en-US" w:eastAsia="zh-CN" w:bidi="ar-SA"/>
              </w:rPr>
              <w:t>《民用建筑节能条例》第四十二条：违反本条例规定，工程监理单位有下列行为之一的，由县级以上地方人民政府建设主管部门责令限期改正；逾期未改正的，处10万元以上30万元以下的罚款；情节严重的，由颁发资质证书的部门责令停业整顿，降低资质等级或者吊销资质证书；造成损失的，依法承担赔偿责任：（一）未按照民用建筑节能强制性标准实施监理的；</w:t>
            </w:r>
            <w:r>
              <w:rPr>
                <w:rFonts w:ascii="Times New Roman" w:hAnsi="Times New Roman" w:eastAsiaTheme="minorEastAsia" w:cstheme="minorBidi"/>
                <w:kern w:val="0"/>
                <w:sz w:val="21"/>
                <w:szCs w:val="22"/>
                <w:lang w:val="en-US" w:eastAsia="zh-CN" w:bidi="ar-SA"/>
              </w:rPr>
              <w:br w:type="textWrapping"/>
            </w:r>
            <w:r>
              <w:rPr>
                <w:rFonts w:ascii="Times New Roman" w:hAnsi="Times New Roman" w:eastAsiaTheme="minorEastAsia" w:cstheme="minorBidi"/>
                <w:kern w:val="0"/>
                <w:sz w:val="21"/>
                <w:szCs w:val="22"/>
                <w:lang w:val="en-US" w:eastAsia="zh-CN" w:bidi="ar-SA"/>
              </w:rPr>
              <w:t>　　对不符合施工图设计文件要求的墙体材料、保温材料、门窗、采暖制冷系统和照明设备，按照符合施工图设计文件要求签字的，依照《建设工程质量管理条例》第六十七条的规定处罚。</w:t>
            </w:r>
          </w:p>
        </w:tc>
        <w:tc>
          <w:tcPr>
            <w:tcW w:w="952" w:type="dxa"/>
            <w:tcBorders>
              <w:top w:val="nil"/>
              <w:left w:val="nil"/>
              <w:bottom w:val="single" w:color="000000" w:sz="8" w:space="0"/>
              <w:right w:val="single" w:color="000000" w:sz="12" w:space="0"/>
            </w:tcBorders>
            <w:shd w:val="clear" w:color="auto" w:fill="auto"/>
            <w:tcMar>
              <w:top w:w="15" w:type="dxa"/>
              <w:left w:w="15" w:type="dxa"/>
              <w:bottom w:w="15" w:type="dxa"/>
              <w:right w:w="15" w:type="dxa"/>
            </w:tcMar>
            <w:vAlign w:val="center"/>
          </w:tcPr>
          <w:p>
            <w:pPr>
              <w:widowControl/>
              <w:jc w:val="center"/>
              <w:rPr>
                <w:rFonts w:hint="eastAsia" w:asciiTheme="minorEastAsia" w:hAnsiTheme="minorEastAsia" w:eastAsiaTheme="minorEastAsia" w:cstheme="minorEastAsia"/>
                <w:kern w:val="0"/>
                <w:sz w:val="21"/>
                <w:szCs w:val="21"/>
              </w:rPr>
            </w:pPr>
          </w:p>
        </w:tc>
      </w:tr>
      <w:tr>
        <w:tblPrEx>
          <w:tblCellMar>
            <w:top w:w="0" w:type="dxa"/>
            <w:left w:w="0" w:type="dxa"/>
            <w:bottom w:w="0" w:type="dxa"/>
            <w:right w:w="0" w:type="dxa"/>
          </w:tblCellMar>
        </w:tblPrEx>
        <w:trPr>
          <w:trHeight w:val="567" w:hRule="atLeast"/>
          <w:jc w:val="center"/>
        </w:trPr>
        <w:tc>
          <w:tcPr>
            <w:tcW w:w="1168" w:type="dxa"/>
            <w:tcBorders>
              <w:top w:val="nil"/>
              <w:left w:val="single" w:color="000000" w:sz="12" w:space="0"/>
              <w:bottom w:val="single" w:color="000000" w:sz="8" w:space="0"/>
              <w:right w:val="single" w:color="000000" w:sz="8" w:space="0"/>
            </w:tcBorders>
            <w:shd w:val="clear" w:color="auto" w:fill="auto"/>
            <w:tcMar>
              <w:top w:w="15" w:type="dxa"/>
              <w:left w:w="15" w:type="dxa"/>
              <w:bottom w:w="15" w:type="dxa"/>
              <w:right w:w="15" w:type="dxa"/>
            </w:tcMar>
            <w:vAlign w:val="center"/>
          </w:tcPr>
          <w:p>
            <w:pPr>
              <w:numPr>
                <w:ilvl w:val="0"/>
                <w:numId w:val="1"/>
              </w:numPr>
              <w:ind w:left="0" w:leftChars="0" w:firstLine="0" w:firstLineChars="0"/>
              <w:jc w:val="center"/>
              <w:rPr>
                <w:rFonts w:hint="eastAsia" w:ascii="宋体" w:hAnsi="宋体" w:eastAsia="宋体" w:cs="宋体"/>
                <w:lang w:val="en-US" w:eastAsia="zh-CN"/>
              </w:rPr>
            </w:pPr>
          </w:p>
        </w:tc>
        <w:tc>
          <w:tcPr>
            <w:tcW w:w="2881" w:type="dxa"/>
            <w:gridSpan w:val="3"/>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widowControl/>
              <w:spacing w:line="240" w:lineRule="auto"/>
              <w:jc w:val="left"/>
              <w:rPr>
                <w:rFonts w:hint="eastAsia" w:asciiTheme="minorEastAsia" w:hAnsiTheme="minorEastAsia" w:eastAsiaTheme="minorEastAsia" w:cstheme="minorEastAsia"/>
                <w:sz w:val="21"/>
                <w:szCs w:val="21"/>
              </w:rPr>
            </w:pPr>
            <w:r>
              <w:t>工程监理单位在墙体、屋面的保温工程施工时，未采取旁站、巡视和平行检验等形式实施监理</w:t>
            </w:r>
          </w:p>
        </w:tc>
        <w:tc>
          <w:tcPr>
            <w:tcW w:w="1104" w:type="dxa"/>
            <w:gridSpan w:val="2"/>
            <w:tcBorders>
              <w:top w:val="nil"/>
              <w:left w:val="nil"/>
              <w:bottom w:val="single" w:color="000000" w:sz="8" w:space="0"/>
              <w:right w:val="single" w:color="auto" w:sz="8" w:space="0"/>
            </w:tcBorders>
            <w:shd w:val="clear" w:color="auto" w:fill="auto"/>
            <w:tcMar>
              <w:top w:w="15" w:type="dxa"/>
              <w:left w:w="15" w:type="dxa"/>
              <w:bottom w:w="15" w:type="dxa"/>
              <w:right w:w="15" w:type="dxa"/>
            </w:tcMar>
            <w:vAlign w:val="center"/>
          </w:tcPr>
          <w:p>
            <w:pPr>
              <w:widowControl/>
              <w:spacing w:line="240" w:lineRule="auto"/>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eastAsia="zh-CN"/>
              </w:rPr>
              <w:t>区住建局</w:t>
            </w:r>
          </w:p>
        </w:tc>
        <w:tc>
          <w:tcPr>
            <w:tcW w:w="200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spacing w:line="240" w:lineRule="auto"/>
              <w:jc w:val="both"/>
              <w:rPr>
                <w:rFonts w:hint="eastAsia" w:asciiTheme="minorEastAsia" w:hAnsiTheme="minorEastAsia" w:eastAsiaTheme="minorEastAsia" w:cstheme="minorEastAsia"/>
                <w:sz w:val="21"/>
                <w:szCs w:val="21"/>
              </w:rPr>
            </w:pPr>
            <w:r>
              <w:t>同一项目中，1次在墙体、屋面的保温工程施工时，未采取旁站、巡视和平行检验等形式实施监理</w:t>
            </w:r>
          </w:p>
        </w:tc>
        <w:tc>
          <w:tcPr>
            <w:tcW w:w="6301"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widowControl/>
              <w:spacing w:line="240" w:lineRule="auto"/>
              <w:jc w:val="both"/>
              <w:rPr>
                <w:rFonts w:hint="eastAsia" w:asciiTheme="minorEastAsia" w:hAnsiTheme="minorEastAsia" w:eastAsiaTheme="minorEastAsia" w:cstheme="minorEastAsia"/>
                <w:sz w:val="21"/>
                <w:szCs w:val="21"/>
              </w:rPr>
            </w:pPr>
            <w:r>
              <w:t>《民用建筑节能条例》第四十二条：违反本条例规定，工程监理单位有下列行为之一的，由县级以上地方人民政府建设主管部门责令限期改正；逾期未改正的，处10万元以上30万元以下的罚款；情节严重的，由颁发资质证书的部门责令停业整顿，降低资质等级或者吊销资质证书；造成损失的，依法承担赔偿责任：（二）墙体、屋面的保温工程施工时，未采取旁站、巡视和平行检验等形式实施监理的。</w:t>
            </w:r>
            <w:r>
              <w:br w:type="textWrapping"/>
            </w:r>
            <w:r>
              <w:t>　　对不符合施工图设计文件要求的墙体材料、保温材料、门窗、采暖制冷系统和照明设备，按照符合施工图设计文件要求签字的，依照《建设工程质量管理条例》第六十七条的规定处罚。</w:t>
            </w:r>
          </w:p>
        </w:tc>
        <w:tc>
          <w:tcPr>
            <w:tcW w:w="952" w:type="dxa"/>
            <w:tcBorders>
              <w:top w:val="nil"/>
              <w:left w:val="nil"/>
              <w:bottom w:val="single" w:color="000000" w:sz="8" w:space="0"/>
              <w:right w:val="single" w:color="000000" w:sz="12" w:space="0"/>
            </w:tcBorders>
            <w:shd w:val="clear" w:color="auto" w:fill="auto"/>
            <w:tcMar>
              <w:top w:w="15" w:type="dxa"/>
              <w:left w:w="15" w:type="dxa"/>
              <w:bottom w:w="15" w:type="dxa"/>
              <w:right w:w="15" w:type="dxa"/>
            </w:tcMar>
            <w:vAlign w:val="center"/>
          </w:tcPr>
          <w:p>
            <w:pPr>
              <w:widowControl/>
              <w:jc w:val="center"/>
              <w:rPr>
                <w:rFonts w:hint="eastAsia" w:asciiTheme="minorEastAsia" w:hAnsiTheme="minorEastAsia" w:eastAsiaTheme="minorEastAsia" w:cstheme="minorEastAsia"/>
                <w:kern w:val="0"/>
                <w:sz w:val="21"/>
                <w:szCs w:val="21"/>
              </w:rPr>
            </w:pPr>
          </w:p>
        </w:tc>
      </w:tr>
      <w:tr>
        <w:tblPrEx>
          <w:tblCellMar>
            <w:top w:w="0" w:type="dxa"/>
            <w:left w:w="0" w:type="dxa"/>
            <w:bottom w:w="0" w:type="dxa"/>
            <w:right w:w="0" w:type="dxa"/>
          </w:tblCellMar>
        </w:tblPrEx>
        <w:trPr>
          <w:trHeight w:val="567" w:hRule="atLeast"/>
          <w:jc w:val="center"/>
        </w:trPr>
        <w:tc>
          <w:tcPr>
            <w:tcW w:w="1168" w:type="dxa"/>
            <w:tcBorders>
              <w:top w:val="nil"/>
              <w:left w:val="single" w:color="000000" w:sz="12" w:space="0"/>
              <w:bottom w:val="single" w:color="000000" w:sz="8" w:space="0"/>
              <w:right w:val="single" w:color="000000" w:sz="8" w:space="0"/>
            </w:tcBorders>
            <w:shd w:val="clear" w:color="auto" w:fill="auto"/>
            <w:tcMar>
              <w:top w:w="15" w:type="dxa"/>
              <w:left w:w="15" w:type="dxa"/>
              <w:bottom w:w="15" w:type="dxa"/>
              <w:right w:w="15" w:type="dxa"/>
            </w:tcMar>
            <w:vAlign w:val="center"/>
          </w:tcPr>
          <w:p>
            <w:pPr>
              <w:numPr>
                <w:ilvl w:val="0"/>
                <w:numId w:val="1"/>
              </w:numPr>
              <w:ind w:left="0" w:leftChars="0" w:firstLine="0" w:firstLineChars="0"/>
              <w:jc w:val="center"/>
              <w:rPr>
                <w:rFonts w:hint="eastAsia" w:ascii="宋体" w:hAnsi="宋体" w:eastAsia="宋体" w:cs="宋体"/>
                <w:lang w:val="en-US" w:eastAsia="zh-CN"/>
              </w:rPr>
            </w:pPr>
          </w:p>
        </w:tc>
        <w:tc>
          <w:tcPr>
            <w:tcW w:w="2881" w:type="dxa"/>
            <w:gridSpan w:val="3"/>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widowControl/>
              <w:spacing w:line="240" w:lineRule="auto"/>
              <w:jc w:val="left"/>
              <w:rPr>
                <w:rFonts w:hint="eastAsia" w:asciiTheme="minorEastAsia" w:hAnsiTheme="minorEastAsia" w:eastAsiaTheme="minorEastAsia" w:cstheme="minorEastAsia"/>
                <w:sz w:val="21"/>
                <w:szCs w:val="21"/>
              </w:rPr>
            </w:pPr>
            <w:r>
              <w:t>房地产开发企业销售商品房，未向购买人明示所售商品房的能源消耗指标、节能措施和保护要求、保温工程保修期等信息，或者向购买人明示的所售商品房能源消耗指标与实际能源消耗不符</w:t>
            </w:r>
          </w:p>
        </w:tc>
        <w:tc>
          <w:tcPr>
            <w:tcW w:w="1104" w:type="dxa"/>
            <w:gridSpan w:val="2"/>
            <w:tcBorders>
              <w:top w:val="nil"/>
              <w:left w:val="nil"/>
              <w:bottom w:val="single" w:color="000000" w:sz="8" w:space="0"/>
              <w:right w:val="single" w:color="auto" w:sz="8" w:space="0"/>
            </w:tcBorders>
            <w:shd w:val="clear" w:color="auto" w:fill="auto"/>
            <w:tcMar>
              <w:top w:w="15" w:type="dxa"/>
              <w:left w:w="15" w:type="dxa"/>
              <w:bottom w:w="15" w:type="dxa"/>
              <w:right w:w="15" w:type="dxa"/>
            </w:tcMar>
            <w:vAlign w:val="center"/>
          </w:tcPr>
          <w:p>
            <w:pPr>
              <w:widowControl/>
              <w:spacing w:line="240" w:lineRule="auto"/>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eastAsia="zh-CN"/>
              </w:rPr>
              <w:t>区住建局</w:t>
            </w:r>
          </w:p>
        </w:tc>
        <w:tc>
          <w:tcPr>
            <w:tcW w:w="200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spacing w:line="240" w:lineRule="auto"/>
              <w:jc w:val="both"/>
              <w:rPr>
                <w:rFonts w:hint="eastAsia" w:asciiTheme="minorEastAsia" w:hAnsiTheme="minorEastAsia" w:eastAsiaTheme="minorEastAsia" w:cstheme="minorEastAsia"/>
                <w:sz w:val="21"/>
                <w:szCs w:val="21"/>
              </w:rPr>
            </w:pPr>
            <w:r>
              <w:t>未造成危害后果或造成轻微危害后果的</w:t>
            </w:r>
          </w:p>
        </w:tc>
        <w:tc>
          <w:tcPr>
            <w:tcW w:w="6301"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widowControl/>
              <w:spacing w:line="240" w:lineRule="auto"/>
              <w:jc w:val="both"/>
              <w:rPr>
                <w:rFonts w:hint="eastAsia" w:asciiTheme="minorEastAsia" w:hAnsiTheme="minorEastAsia" w:eastAsiaTheme="minorEastAsia" w:cstheme="minorEastAsia"/>
                <w:sz w:val="21"/>
                <w:szCs w:val="21"/>
              </w:rPr>
            </w:pPr>
            <w:r>
              <w:t>《民用建筑节能条例》第四十三条：违反本条例规定，房地产开发企业销售商品房，未向购买人明示所售商品房的能源消耗指标、节能措施和保护要求、保温工程保修期等信息，或者向购买人明示的所售商品房能源消耗指标与实际能源消耗不符的，依法承担民事责任；由县级以上地方人民政府建设主管部门责令限期改正；逾期未改正的，处交付使用的房屋销售总额2%以下的罚款；情节严重的，由颁发资质证书的部门降低资质等级或者吊销资质证书。</w:t>
            </w:r>
          </w:p>
        </w:tc>
        <w:tc>
          <w:tcPr>
            <w:tcW w:w="952" w:type="dxa"/>
            <w:tcBorders>
              <w:top w:val="nil"/>
              <w:left w:val="nil"/>
              <w:bottom w:val="single" w:color="000000" w:sz="8" w:space="0"/>
              <w:right w:val="single" w:color="000000" w:sz="12" w:space="0"/>
            </w:tcBorders>
            <w:shd w:val="clear" w:color="auto" w:fill="auto"/>
            <w:tcMar>
              <w:top w:w="15" w:type="dxa"/>
              <w:left w:w="15" w:type="dxa"/>
              <w:bottom w:w="15" w:type="dxa"/>
              <w:right w:w="15" w:type="dxa"/>
            </w:tcMar>
            <w:vAlign w:val="center"/>
          </w:tcPr>
          <w:p>
            <w:pPr>
              <w:widowControl/>
              <w:jc w:val="center"/>
              <w:rPr>
                <w:rFonts w:hint="eastAsia" w:asciiTheme="minorEastAsia" w:hAnsiTheme="minorEastAsia" w:eastAsiaTheme="minorEastAsia" w:cstheme="minorEastAsia"/>
                <w:kern w:val="0"/>
                <w:sz w:val="21"/>
                <w:szCs w:val="21"/>
              </w:rPr>
            </w:pPr>
          </w:p>
        </w:tc>
      </w:tr>
      <w:tr>
        <w:tblPrEx>
          <w:tblCellMar>
            <w:top w:w="0" w:type="dxa"/>
            <w:left w:w="0" w:type="dxa"/>
            <w:bottom w:w="0" w:type="dxa"/>
            <w:right w:w="0" w:type="dxa"/>
          </w:tblCellMar>
        </w:tblPrEx>
        <w:trPr>
          <w:trHeight w:val="567" w:hRule="atLeast"/>
          <w:jc w:val="center"/>
        </w:trPr>
        <w:tc>
          <w:tcPr>
            <w:tcW w:w="1168" w:type="dxa"/>
            <w:tcBorders>
              <w:top w:val="nil"/>
              <w:left w:val="single" w:color="000000" w:sz="12" w:space="0"/>
              <w:bottom w:val="single" w:color="000000" w:sz="8" w:space="0"/>
              <w:right w:val="single" w:color="000000" w:sz="8" w:space="0"/>
            </w:tcBorders>
            <w:shd w:val="clear" w:color="auto" w:fill="auto"/>
            <w:tcMar>
              <w:top w:w="15" w:type="dxa"/>
              <w:left w:w="15" w:type="dxa"/>
              <w:bottom w:w="15" w:type="dxa"/>
              <w:right w:w="15" w:type="dxa"/>
            </w:tcMar>
            <w:vAlign w:val="center"/>
          </w:tcPr>
          <w:p>
            <w:pPr>
              <w:numPr>
                <w:ilvl w:val="0"/>
                <w:numId w:val="1"/>
              </w:numPr>
              <w:ind w:left="0" w:leftChars="0" w:firstLine="0" w:firstLineChars="0"/>
              <w:jc w:val="center"/>
              <w:rPr>
                <w:rFonts w:hint="eastAsia" w:ascii="宋体" w:hAnsi="宋体" w:eastAsia="宋体" w:cs="宋体"/>
                <w:lang w:val="en-US" w:eastAsia="zh-CN"/>
              </w:rPr>
            </w:pPr>
          </w:p>
        </w:tc>
        <w:tc>
          <w:tcPr>
            <w:tcW w:w="2881" w:type="dxa"/>
            <w:gridSpan w:val="3"/>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widowControl/>
              <w:spacing w:line="240" w:lineRule="auto"/>
              <w:jc w:val="left"/>
              <w:rPr>
                <w:rFonts w:hint="eastAsia" w:asciiTheme="minorEastAsia" w:hAnsiTheme="minorEastAsia" w:eastAsiaTheme="minorEastAsia" w:cstheme="minorEastAsia"/>
                <w:sz w:val="21"/>
                <w:szCs w:val="21"/>
              </w:rPr>
            </w:pPr>
            <w:r>
              <w:t>注册执业人员未执行民用建筑节能强制性标准</w:t>
            </w:r>
          </w:p>
        </w:tc>
        <w:tc>
          <w:tcPr>
            <w:tcW w:w="1104" w:type="dxa"/>
            <w:gridSpan w:val="2"/>
            <w:tcBorders>
              <w:top w:val="nil"/>
              <w:left w:val="nil"/>
              <w:bottom w:val="single" w:color="000000" w:sz="8" w:space="0"/>
              <w:right w:val="single" w:color="auto" w:sz="8" w:space="0"/>
            </w:tcBorders>
            <w:shd w:val="clear" w:color="auto" w:fill="auto"/>
            <w:tcMar>
              <w:top w:w="15" w:type="dxa"/>
              <w:left w:w="15" w:type="dxa"/>
              <w:bottom w:w="15" w:type="dxa"/>
              <w:right w:w="15" w:type="dxa"/>
            </w:tcMar>
            <w:vAlign w:val="center"/>
          </w:tcPr>
          <w:p>
            <w:pPr>
              <w:widowControl/>
              <w:spacing w:line="240" w:lineRule="auto"/>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eastAsia="zh-CN"/>
              </w:rPr>
              <w:t>区住建局</w:t>
            </w:r>
          </w:p>
        </w:tc>
        <w:tc>
          <w:tcPr>
            <w:tcW w:w="200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spacing w:line="240" w:lineRule="auto"/>
              <w:jc w:val="both"/>
              <w:rPr>
                <w:rFonts w:hint="eastAsia" w:asciiTheme="minorEastAsia" w:hAnsiTheme="minorEastAsia" w:eastAsiaTheme="minorEastAsia" w:cstheme="minorEastAsia"/>
                <w:sz w:val="21"/>
                <w:szCs w:val="21"/>
              </w:rPr>
            </w:pPr>
            <w:r>
              <w:t>情节未达到严重程度的</w:t>
            </w:r>
          </w:p>
        </w:tc>
        <w:tc>
          <w:tcPr>
            <w:tcW w:w="6301"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widowControl/>
              <w:spacing w:line="240" w:lineRule="auto"/>
              <w:jc w:val="both"/>
              <w:rPr>
                <w:rFonts w:hint="eastAsia" w:asciiTheme="minorEastAsia" w:hAnsiTheme="minorEastAsia" w:eastAsiaTheme="minorEastAsia" w:cstheme="minorEastAsia"/>
                <w:sz w:val="21"/>
                <w:szCs w:val="21"/>
              </w:rPr>
            </w:pPr>
            <w:r>
              <w:t>《民用建筑节能条例》第四十四条：违反本条例规定，注册执业人员未执行民用建筑节能强制性标准的，由县级以上人民政府建设主管部门责令停止执业3个月以上1年以下；情节严重的，由颁发资格证书的部门吊销执业资格证书，5年内不予注册。</w:t>
            </w:r>
          </w:p>
        </w:tc>
        <w:tc>
          <w:tcPr>
            <w:tcW w:w="952" w:type="dxa"/>
            <w:tcBorders>
              <w:top w:val="nil"/>
              <w:left w:val="nil"/>
              <w:bottom w:val="single" w:color="000000" w:sz="8" w:space="0"/>
              <w:right w:val="single" w:color="000000" w:sz="12" w:space="0"/>
            </w:tcBorders>
            <w:shd w:val="clear" w:color="auto" w:fill="auto"/>
            <w:tcMar>
              <w:top w:w="15" w:type="dxa"/>
              <w:left w:w="15" w:type="dxa"/>
              <w:bottom w:w="15" w:type="dxa"/>
              <w:right w:w="15" w:type="dxa"/>
            </w:tcMar>
            <w:vAlign w:val="center"/>
          </w:tcPr>
          <w:p>
            <w:pPr>
              <w:widowControl/>
              <w:jc w:val="center"/>
              <w:rPr>
                <w:rFonts w:hint="eastAsia" w:asciiTheme="minorEastAsia" w:hAnsiTheme="minorEastAsia" w:eastAsiaTheme="minorEastAsia" w:cstheme="minorEastAsia"/>
                <w:kern w:val="0"/>
                <w:sz w:val="21"/>
                <w:szCs w:val="21"/>
              </w:rPr>
            </w:pPr>
          </w:p>
        </w:tc>
      </w:tr>
      <w:tr>
        <w:tblPrEx>
          <w:tblCellMar>
            <w:top w:w="0" w:type="dxa"/>
            <w:left w:w="0" w:type="dxa"/>
            <w:bottom w:w="0" w:type="dxa"/>
            <w:right w:w="0" w:type="dxa"/>
          </w:tblCellMar>
        </w:tblPrEx>
        <w:trPr>
          <w:trHeight w:val="567" w:hRule="atLeast"/>
          <w:jc w:val="center"/>
        </w:trPr>
        <w:tc>
          <w:tcPr>
            <w:tcW w:w="1168" w:type="dxa"/>
            <w:tcBorders>
              <w:top w:val="nil"/>
              <w:left w:val="single" w:color="000000" w:sz="12" w:space="0"/>
              <w:bottom w:val="single" w:color="000000" w:sz="8" w:space="0"/>
              <w:right w:val="single" w:color="000000" w:sz="8" w:space="0"/>
            </w:tcBorders>
            <w:shd w:val="clear" w:color="auto" w:fill="auto"/>
            <w:tcMar>
              <w:top w:w="15" w:type="dxa"/>
              <w:left w:w="15" w:type="dxa"/>
              <w:bottom w:w="15" w:type="dxa"/>
              <w:right w:w="15" w:type="dxa"/>
            </w:tcMar>
            <w:vAlign w:val="center"/>
          </w:tcPr>
          <w:p>
            <w:pPr>
              <w:numPr>
                <w:ilvl w:val="0"/>
                <w:numId w:val="1"/>
              </w:numPr>
              <w:ind w:left="0" w:leftChars="0" w:firstLine="0" w:firstLineChars="0"/>
              <w:jc w:val="center"/>
              <w:rPr>
                <w:rFonts w:hint="eastAsia" w:ascii="宋体" w:hAnsi="宋体" w:eastAsia="宋体" w:cs="宋体"/>
                <w:lang w:val="en-US" w:eastAsia="zh-CN"/>
              </w:rPr>
            </w:pPr>
          </w:p>
        </w:tc>
        <w:tc>
          <w:tcPr>
            <w:tcW w:w="2881" w:type="dxa"/>
            <w:gridSpan w:val="3"/>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widowControl/>
              <w:spacing w:line="240" w:lineRule="auto"/>
              <w:jc w:val="left"/>
              <w:rPr>
                <w:rFonts w:hint="eastAsia" w:asciiTheme="minorEastAsia" w:hAnsiTheme="minorEastAsia" w:eastAsiaTheme="minorEastAsia" w:cstheme="minorEastAsia"/>
                <w:sz w:val="21"/>
                <w:szCs w:val="21"/>
              </w:rPr>
            </w:pPr>
            <w:r>
              <w:t>对国家机关办公建筑和公共建筑从事既有建筑改建、扩建和围护结构装饰装修、用能系统更新时，未同步实施建筑节能改造</w:t>
            </w:r>
          </w:p>
        </w:tc>
        <w:tc>
          <w:tcPr>
            <w:tcW w:w="1104" w:type="dxa"/>
            <w:gridSpan w:val="2"/>
            <w:tcBorders>
              <w:top w:val="nil"/>
              <w:left w:val="nil"/>
              <w:bottom w:val="single" w:color="000000" w:sz="8" w:space="0"/>
              <w:right w:val="single" w:color="auto" w:sz="8" w:space="0"/>
            </w:tcBorders>
            <w:shd w:val="clear" w:color="auto" w:fill="auto"/>
            <w:tcMar>
              <w:top w:w="15" w:type="dxa"/>
              <w:left w:w="15" w:type="dxa"/>
              <w:bottom w:w="15" w:type="dxa"/>
              <w:right w:w="15" w:type="dxa"/>
            </w:tcMar>
            <w:vAlign w:val="center"/>
          </w:tcPr>
          <w:p>
            <w:pPr>
              <w:widowControl/>
              <w:spacing w:line="240" w:lineRule="auto"/>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eastAsia="zh-CN"/>
              </w:rPr>
              <w:t>区住建局</w:t>
            </w:r>
          </w:p>
        </w:tc>
        <w:tc>
          <w:tcPr>
            <w:tcW w:w="200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spacing w:line="240" w:lineRule="auto"/>
              <w:jc w:val="both"/>
              <w:rPr>
                <w:rFonts w:hint="eastAsia" w:asciiTheme="minorEastAsia" w:hAnsiTheme="minorEastAsia" w:eastAsiaTheme="minorEastAsia" w:cstheme="minorEastAsia"/>
                <w:sz w:val="21"/>
                <w:szCs w:val="21"/>
              </w:rPr>
            </w:pPr>
            <w:r>
              <w:t>国家机关办公建筑和公共建筑从事既有建筑在改建、扩建和围护结构装饰装修、用能系统更新时，未同步实施建筑节能改造，能够限期改正的</w:t>
            </w:r>
          </w:p>
        </w:tc>
        <w:tc>
          <w:tcPr>
            <w:tcW w:w="6301"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widowControl/>
              <w:spacing w:line="240" w:lineRule="auto"/>
              <w:jc w:val="both"/>
              <w:rPr>
                <w:rFonts w:hint="eastAsia" w:asciiTheme="minorEastAsia" w:hAnsiTheme="minorEastAsia" w:eastAsiaTheme="minorEastAsia" w:cstheme="minorEastAsia"/>
                <w:sz w:val="21"/>
                <w:szCs w:val="21"/>
              </w:rPr>
            </w:pPr>
            <w:r>
              <w:t>《湖北省民用建筑节能条例》第三十六条：对国家机关办公建筑和公共建筑从事本条例第二十二条第一款规定的相关活动时，未同步实施建筑节能改造的，由县级以上建设主管部门责令限期改正；逾期未改正，情节严重的，处1万元以上3万元以下罚款，对直接负责的主管人员和其他直接责任人员依法给予行政处分，并予通报。</w:t>
            </w:r>
          </w:p>
        </w:tc>
        <w:tc>
          <w:tcPr>
            <w:tcW w:w="952" w:type="dxa"/>
            <w:tcBorders>
              <w:top w:val="nil"/>
              <w:left w:val="nil"/>
              <w:bottom w:val="single" w:color="000000" w:sz="8" w:space="0"/>
              <w:right w:val="single" w:color="000000" w:sz="12" w:space="0"/>
            </w:tcBorders>
            <w:shd w:val="clear" w:color="auto" w:fill="auto"/>
            <w:tcMar>
              <w:top w:w="15" w:type="dxa"/>
              <w:left w:w="15" w:type="dxa"/>
              <w:bottom w:w="15" w:type="dxa"/>
              <w:right w:w="15" w:type="dxa"/>
            </w:tcMar>
            <w:vAlign w:val="center"/>
          </w:tcPr>
          <w:p>
            <w:pPr>
              <w:widowControl/>
              <w:jc w:val="center"/>
              <w:rPr>
                <w:rFonts w:hint="eastAsia" w:asciiTheme="minorEastAsia" w:hAnsiTheme="minorEastAsia" w:eastAsiaTheme="minorEastAsia" w:cstheme="minorEastAsia"/>
                <w:kern w:val="0"/>
                <w:sz w:val="21"/>
                <w:szCs w:val="21"/>
              </w:rPr>
            </w:pPr>
          </w:p>
        </w:tc>
      </w:tr>
      <w:tr>
        <w:tblPrEx>
          <w:tblCellMar>
            <w:top w:w="0" w:type="dxa"/>
            <w:left w:w="0" w:type="dxa"/>
            <w:bottom w:w="0" w:type="dxa"/>
            <w:right w:w="0" w:type="dxa"/>
          </w:tblCellMar>
        </w:tblPrEx>
        <w:trPr>
          <w:trHeight w:val="567" w:hRule="atLeast"/>
          <w:jc w:val="center"/>
        </w:trPr>
        <w:tc>
          <w:tcPr>
            <w:tcW w:w="1168" w:type="dxa"/>
            <w:tcBorders>
              <w:top w:val="nil"/>
              <w:left w:val="single" w:color="000000" w:sz="12" w:space="0"/>
              <w:bottom w:val="single" w:color="000000" w:sz="8" w:space="0"/>
              <w:right w:val="single" w:color="000000" w:sz="8" w:space="0"/>
            </w:tcBorders>
            <w:shd w:val="clear" w:color="auto" w:fill="auto"/>
            <w:tcMar>
              <w:top w:w="15" w:type="dxa"/>
              <w:left w:w="15" w:type="dxa"/>
              <w:bottom w:w="15" w:type="dxa"/>
              <w:right w:w="15" w:type="dxa"/>
            </w:tcMar>
            <w:vAlign w:val="center"/>
          </w:tcPr>
          <w:p>
            <w:pPr>
              <w:numPr>
                <w:ilvl w:val="0"/>
                <w:numId w:val="1"/>
              </w:numPr>
              <w:ind w:left="0" w:leftChars="0" w:firstLine="0" w:firstLineChars="0"/>
              <w:jc w:val="center"/>
              <w:rPr>
                <w:rFonts w:hint="eastAsia" w:ascii="宋体" w:hAnsi="宋体" w:eastAsia="宋体" w:cs="宋体"/>
                <w:lang w:val="en-US" w:eastAsia="zh-CN"/>
              </w:rPr>
            </w:pPr>
          </w:p>
        </w:tc>
        <w:tc>
          <w:tcPr>
            <w:tcW w:w="2881" w:type="dxa"/>
            <w:gridSpan w:val="3"/>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spacing w:line="240" w:lineRule="auto"/>
              <w:jc w:val="left"/>
              <w:rPr>
                <w:rFonts w:hint="eastAsia" w:asciiTheme="minorEastAsia" w:hAnsiTheme="minorEastAsia" w:eastAsiaTheme="minorEastAsia" w:cstheme="minorEastAsia"/>
                <w:sz w:val="21"/>
                <w:szCs w:val="21"/>
              </w:rPr>
            </w:pPr>
            <w:r>
              <w:t>新建、扩建粘土实心砖</w:t>
            </w:r>
          </w:p>
        </w:tc>
        <w:tc>
          <w:tcPr>
            <w:tcW w:w="1104" w:type="dxa"/>
            <w:gridSpan w:val="2"/>
            <w:tcBorders>
              <w:top w:val="nil"/>
              <w:left w:val="nil"/>
              <w:bottom w:val="single" w:color="000000" w:sz="8" w:space="0"/>
              <w:right w:val="single" w:color="auto" w:sz="8" w:space="0"/>
            </w:tcBorders>
            <w:shd w:val="clear" w:color="auto" w:fill="auto"/>
            <w:tcMar>
              <w:top w:w="15" w:type="dxa"/>
              <w:left w:w="15" w:type="dxa"/>
              <w:bottom w:w="15" w:type="dxa"/>
              <w:right w:w="15" w:type="dxa"/>
            </w:tcMar>
            <w:vAlign w:val="center"/>
          </w:tcPr>
          <w:p>
            <w:pPr>
              <w:spacing w:line="240" w:lineRule="auto"/>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eastAsia="zh-CN"/>
              </w:rPr>
              <w:t>区住建局</w:t>
            </w:r>
          </w:p>
        </w:tc>
        <w:tc>
          <w:tcPr>
            <w:tcW w:w="200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spacing w:line="240" w:lineRule="auto"/>
              <w:jc w:val="both"/>
              <w:rPr>
                <w:rFonts w:hint="eastAsia" w:asciiTheme="minorEastAsia" w:hAnsiTheme="minorEastAsia" w:eastAsiaTheme="minorEastAsia" w:cstheme="minorEastAsia"/>
                <w:sz w:val="21"/>
                <w:szCs w:val="21"/>
              </w:rPr>
            </w:pPr>
            <w:r>
              <w:t>存在违法行为，有违法所得</w:t>
            </w:r>
          </w:p>
        </w:tc>
        <w:tc>
          <w:tcPr>
            <w:tcW w:w="6301"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spacing w:line="240" w:lineRule="auto"/>
              <w:jc w:val="both"/>
              <w:rPr>
                <w:rFonts w:hint="eastAsia" w:asciiTheme="minorEastAsia" w:hAnsiTheme="minorEastAsia" w:eastAsiaTheme="minorEastAsia" w:cstheme="minorEastAsia"/>
                <w:sz w:val="21"/>
                <w:szCs w:val="21"/>
              </w:rPr>
            </w:pPr>
            <w:r>
              <w:t>《湖北省推广应用新型墙体材料管理规定》第二十条：违反本规定，新建、扩建粘土实心砖的生产企业，由墙体材料革新办公室责令限期改正，并对有违法行为的，处以违法所得3倍以内的罚款，但最高不得超过30000元；尚无违法所得的，处以10000元以下罚款；或会同工商行政管理机关和土地管理部门按有关规定处理。</w:t>
            </w:r>
          </w:p>
        </w:tc>
        <w:tc>
          <w:tcPr>
            <w:tcW w:w="952" w:type="dxa"/>
            <w:tcBorders>
              <w:top w:val="nil"/>
              <w:left w:val="nil"/>
              <w:bottom w:val="single" w:color="000000" w:sz="8" w:space="0"/>
              <w:right w:val="single" w:color="000000" w:sz="12" w:space="0"/>
            </w:tcBorders>
            <w:shd w:val="clear" w:color="auto" w:fill="auto"/>
            <w:tcMar>
              <w:top w:w="15" w:type="dxa"/>
              <w:left w:w="15" w:type="dxa"/>
              <w:bottom w:w="15" w:type="dxa"/>
              <w:right w:w="15" w:type="dxa"/>
            </w:tcMar>
            <w:vAlign w:val="center"/>
          </w:tcPr>
          <w:p>
            <w:pPr>
              <w:widowControl/>
              <w:jc w:val="center"/>
              <w:rPr>
                <w:rFonts w:hint="eastAsia" w:asciiTheme="minorEastAsia" w:hAnsiTheme="minorEastAsia" w:eastAsiaTheme="minorEastAsia" w:cstheme="minorEastAsia"/>
                <w:kern w:val="0"/>
                <w:sz w:val="21"/>
                <w:szCs w:val="21"/>
              </w:rPr>
            </w:pPr>
          </w:p>
        </w:tc>
      </w:tr>
      <w:tr>
        <w:tblPrEx>
          <w:tblCellMar>
            <w:top w:w="0" w:type="dxa"/>
            <w:left w:w="0" w:type="dxa"/>
            <w:bottom w:w="0" w:type="dxa"/>
            <w:right w:w="0" w:type="dxa"/>
          </w:tblCellMar>
        </w:tblPrEx>
        <w:trPr>
          <w:trHeight w:val="567" w:hRule="atLeast"/>
          <w:jc w:val="center"/>
        </w:trPr>
        <w:tc>
          <w:tcPr>
            <w:tcW w:w="1168" w:type="dxa"/>
            <w:tcBorders>
              <w:top w:val="nil"/>
              <w:left w:val="single" w:color="000000" w:sz="12" w:space="0"/>
              <w:bottom w:val="single" w:color="000000" w:sz="8" w:space="0"/>
              <w:right w:val="single" w:color="000000" w:sz="8" w:space="0"/>
            </w:tcBorders>
            <w:shd w:val="clear" w:color="auto" w:fill="auto"/>
            <w:tcMar>
              <w:top w:w="15" w:type="dxa"/>
              <w:left w:w="15" w:type="dxa"/>
              <w:bottom w:w="15" w:type="dxa"/>
              <w:right w:w="15" w:type="dxa"/>
            </w:tcMar>
            <w:vAlign w:val="center"/>
          </w:tcPr>
          <w:p>
            <w:pPr>
              <w:numPr>
                <w:ilvl w:val="0"/>
                <w:numId w:val="1"/>
              </w:numPr>
              <w:ind w:left="0" w:leftChars="0" w:firstLine="0" w:firstLineChars="0"/>
              <w:jc w:val="center"/>
              <w:rPr>
                <w:rFonts w:hint="eastAsia" w:ascii="宋体" w:hAnsi="宋体" w:eastAsia="宋体" w:cs="宋体"/>
                <w:lang w:val="en-US" w:eastAsia="zh-CN"/>
              </w:rPr>
            </w:pPr>
          </w:p>
        </w:tc>
        <w:tc>
          <w:tcPr>
            <w:tcW w:w="2881" w:type="dxa"/>
            <w:gridSpan w:val="3"/>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widowControl/>
              <w:spacing w:line="240" w:lineRule="auto"/>
              <w:jc w:val="left"/>
              <w:rPr>
                <w:rFonts w:hint="eastAsia" w:asciiTheme="minorEastAsia" w:hAnsiTheme="minorEastAsia" w:eastAsiaTheme="minorEastAsia" w:cstheme="minorEastAsia"/>
                <w:sz w:val="21"/>
                <w:szCs w:val="21"/>
              </w:rPr>
            </w:pPr>
            <w:r>
              <w:t>建设单位未按照建筑节能强制性标准委托设计，擅自修改节能设计文件，明示或暗示设计单位、施工单位违反建筑节能设计强制性标准，降低工程建设质量</w:t>
            </w:r>
          </w:p>
        </w:tc>
        <w:tc>
          <w:tcPr>
            <w:tcW w:w="1104" w:type="dxa"/>
            <w:gridSpan w:val="2"/>
            <w:tcBorders>
              <w:top w:val="nil"/>
              <w:left w:val="nil"/>
              <w:bottom w:val="single" w:color="000000" w:sz="8" w:space="0"/>
              <w:right w:val="single" w:color="auto" w:sz="8" w:space="0"/>
            </w:tcBorders>
            <w:shd w:val="clear" w:color="auto" w:fill="auto"/>
            <w:tcMar>
              <w:top w:w="15" w:type="dxa"/>
              <w:left w:w="15" w:type="dxa"/>
              <w:bottom w:w="15" w:type="dxa"/>
              <w:right w:w="15" w:type="dxa"/>
            </w:tcMar>
            <w:vAlign w:val="center"/>
          </w:tcPr>
          <w:p>
            <w:pPr>
              <w:widowControl/>
              <w:spacing w:line="240" w:lineRule="auto"/>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eastAsia="zh-CN"/>
              </w:rPr>
              <w:t>区住建局</w:t>
            </w:r>
          </w:p>
        </w:tc>
        <w:tc>
          <w:tcPr>
            <w:tcW w:w="200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spacing w:before="62" w:beforeLines="20" w:after="62" w:afterLines="20" w:line="240" w:lineRule="auto"/>
              <w:jc w:val="both"/>
              <w:rPr>
                <w:rFonts w:hint="eastAsia" w:asciiTheme="minorEastAsia" w:hAnsiTheme="minorEastAsia" w:eastAsiaTheme="minorEastAsia" w:cstheme="minorEastAsia"/>
                <w:sz w:val="21"/>
                <w:szCs w:val="21"/>
              </w:rPr>
            </w:pPr>
            <w:r>
              <w:t>未造成建筑节能指标降低或影响结构安全及重要使用功能的</w:t>
            </w:r>
          </w:p>
        </w:tc>
        <w:tc>
          <w:tcPr>
            <w:tcW w:w="6301"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widowControl/>
              <w:spacing w:line="240" w:lineRule="auto"/>
              <w:jc w:val="both"/>
              <w:rPr>
                <w:rFonts w:hint="eastAsia" w:asciiTheme="minorEastAsia" w:hAnsiTheme="minorEastAsia" w:eastAsiaTheme="minorEastAsia" w:cstheme="minorEastAsia"/>
                <w:sz w:val="21"/>
                <w:szCs w:val="21"/>
              </w:rPr>
            </w:pPr>
            <w:r>
              <w:t>《民用建筑节能管理规定》第二十五条：建设单位未按照建筑节能强制性标准委托设计，擅自修改节能设计文件，明示或暗示设计单位、施工单位违反建筑节能设计强制性标准，降低工程建设质量的，处20万元以上50万元以下的罚款。</w:t>
            </w:r>
          </w:p>
        </w:tc>
        <w:tc>
          <w:tcPr>
            <w:tcW w:w="952" w:type="dxa"/>
            <w:tcBorders>
              <w:top w:val="nil"/>
              <w:left w:val="nil"/>
              <w:bottom w:val="single" w:color="000000" w:sz="8" w:space="0"/>
              <w:right w:val="single" w:color="000000" w:sz="12" w:space="0"/>
            </w:tcBorders>
            <w:shd w:val="clear" w:color="auto" w:fill="auto"/>
            <w:tcMar>
              <w:top w:w="15" w:type="dxa"/>
              <w:left w:w="15" w:type="dxa"/>
              <w:bottom w:w="15" w:type="dxa"/>
              <w:right w:w="15" w:type="dxa"/>
            </w:tcMar>
            <w:vAlign w:val="center"/>
          </w:tcPr>
          <w:p>
            <w:pPr>
              <w:widowControl/>
              <w:jc w:val="center"/>
              <w:rPr>
                <w:rFonts w:hint="eastAsia" w:asciiTheme="minorEastAsia" w:hAnsiTheme="minorEastAsia" w:eastAsiaTheme="minorEastAsia" w:cstheme="minorEastAsia"/>
                <w:kern w:val="0"/>
                <w:sz w:val="21"/>
                <w:szCs w:val="21"/>
              </w:rPr>
            </w:pPr>
          </w:p>
        </w:tc>
      </w:tr>
      <w:tr>
        <w:tblPrEx>
          <w:tblCellMar>
            <w:top w:w="0" w:type="dxa"/>
            <w:left w:w="0" w:type="dxa"/>
            <w:bottom w:w="0" w:type="dxa"/>
            <w:right w:w="0" w:type="dxa"/>
          </w:tblCellMar>
        </w:tblPrEx>
        <w:trPr>
          <w:trHeight w:val="567" w:hRule="atLeast"/>
          <w:jc w:val="center"/>
        </w:trPr>
        <w:tc>
          <w:tcPr>
            <w:tcW w:w="1168" w:type="dxa"/>
            <w:tcBorders>
              <w:top w:val="nil"/>
              <w:left w:val="single" w:color="000000" w:sz="12" w:space="0"/>
              <w:bottom w:val="single" w:color="000000" w:sz="8" w:space="0"/>
              <w:right w:val="single" w:color="000000" w:sz="8" w:space="0"/>
            </w:tcBorders>
            <w:shd w:val="clear" w:color="auto" w:fill="auto"/>
            <w:tcMar>
              <w:top w:w="15" w:type="dxa"/>
              <w:left w:w="15" w:type="dxa"/>
              <w:bottom w:w="15" w:type="dxa"/>
              <w:right w:w="15" w:type="dxa"/>
            </w:tcMar>
            <w:vAlign w:val="center"/>
          </w:tcPr>
          <w:p>
            <w:pPr>
              <w:numPr>
                <w:ilvl w:val="0"/>
                <w:numId w:val="1"/>
              </w:numPr>
              <w:ind w:left="0" w:leftChars="0" w:firstLine="0" w:firstLineChars="0"/>
              <w:jc w:val="center"/>
              <w:rPr>
                <w:rFonts w:hint="eastAsia" w:ascii="宋体" w:hAnsi="宋体" w:eastAsia="宋体" w:cs="宋体"/>
                <w:lang w:val="en-US" w:eastAsia="zh-CN"/>
              </w:rPr>
            </w:pPr>
          </w:p>
        </w:tc>
        <w:tc>
          <w:tcPr>
            <w:tcW w:w="2881" w:type="dxa"/>
            <w:gridSpan w:val="3"/>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widowControl/>
              <w:spacing w:line="240" w:lineRule="auto"/>
              <w:jc w:val="left"/>
              <w:rPr>
                <w:rFonts w:hint="eastAsia" w:asciiTheme="minorEastAsia" w:hAnsiTheme="minorEastAsia" w:eastAsiaTheme="minorEastAsia" w:cstheme="minorEastAsia"/>
                <w:sz w:val="21"/>
                <w:szCs w:val="21"/>
              </w:rPr>
            </w:pPr>
            <w:r>
              <w:t>设计单位未按照建筑节能强制性标准进行设计，未进行修改的</w:t>
            </w:r>
          </w:p>
        </w:tc>
        <w:tc>
          <w:tcPr>
            <w:tcW w:w="1104" w:type="dxa"/>
            <w:gridSpan w:val="2"/>
            <w:tcBorders>
              <w:top w:val="nil"/>
              <w:left w:val="nil"/>
              <w:bottom w:val="single" w:color="000000" w:sz="8" w:space="0"/>
              <w:right w:val="single" w:color="auto" w:sz="8" w:space="0"/>
            </w:tcBorders>
            <w:shd w:val="clear" w:color="auto" w:fill="auto"/>
            <w:tcMar>
              <w:top w:w="15" w:type="dxa"/>
              <w:left w:w="15" w:type="dxa"/>
              <w:bottom w:w="15" w:type="dxa"/>
              <w:right w:w="15" w:type="dxa"/>
            </w:tcMar>
            <w:vAlign w:val="center"/>
          </w:tcPr>
          <w:p>
            <w:pPr>
              <w:widowControl/>
              <w:spacing w:line="240" w:lineRule="auto"/>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eastAsia="zh-CN"/>
              </w:rPr>
              <w:t>区住建局</w:t>
            </w:r>
          </w:p>
        </w:tc>
        <w:tc>
          <w:tcPr>
            <w:tcW w:w="200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spacing w:before="62" w:beforeLines="20" w:after="62" w:afterLines="20" w:line="240" w:lineRule="auto"/>
              <w:jc w:val="both"/>
              <w:rPr>
                <w:rFonts w:hint="eastAsia" w:asciiTheme="minorEastAsia" w:hAnsiTheme="minorEastAsia" w:eastAsiaTheme="minorEastAsia" w:cstheme="minorEastAsia"/>
                <w:sz w:val="21"/>
                <w:szCs w:val="21"/>
              </w:rPr>
            </w:pPr>
            <w:r>
              <w:t>未造成危害后果或造成轻微危害后果的</w:t>
            </w:r>
          </w:p>
        </w:tc>
        <w:tc>
          <w:tcPr>
            <w:tcW w:w="6301"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widowControl/>
              <w:spacing w:line="240" w:lineRule="auto"/>
              <w:jc w:val="both"/>
              <w:rPr>
                <w:rFonts w:hint="eastAsia" w:asciiTheme="minorEastAsia" w:hAnsiTheme="minorEastAsia" w:eastAsiaTheme="minorEastAsia" w:cstheme="minorEastAsia"/>
                <w:sz w:val="21"/>
                <w:szCs w:val="21"/>
              </w:rPr>
            </w:pPr>
            <w:r>
              <w:t>《民用建筑节能管理规定》第二十六条：设计单位未按照建筑节能强制性标准进行设计的，应当修改设计。未进行修改的，给予警告，处10万元以上30万元以下罚款；造成损失的，依法承担赔偿责任；两年内，累计三项工程未按照建筑节能强制性标准设计的，责令停业整顿，降低资质等级或者吊销资质证书。</w:t>
            </w:r>
          </w:p>
        </w:tc>
        <w:tc>
          <w:tcPr>
            <w:tcW w:w="952" w:type="dxa"/>
            <w:tcBorders>
              <w:top w:val="nil"/>
              <w:left w:val="nil"/>
              <w:bottom w:val="single" w:color="000000" w:sz="8" w:space="0"/>
              <w:right w:val="single" w:color="000000" w:sz="12" w:space="0"/>
            </w:tcBorders>
            <w:shd w:val="clear" w:color="auto" w:fill="auto"/>
            <w:tcMar>
              <w:top w:w="15" w:type="dxa"/>
              <w:left w:w="15" w:type="dxa"/>
              <w:bottom w:w="15" w:type="dxa"/>
              <w:right w:w="15" w:type="dxa"/>
            </w:tcMar>
            <w:vAlign w:val="center"/>
          </w:tcPr>
          <w:p>
            <w:pPr>
              <w:widowControl/>
              <w:jc w:val="center"/>
              <w:rPr>
                <w:rFonts w:hint="eastAsia" w:asciiTheme="minorEastAsia" w:hAnsiTheme="minorEastAsia" w:eastAsiaTheme="minorEastAsia" w:cstheme="minorEastAsia"/>
                <w:kern w:val="0"/>
                <w:sz w:val="21"/>
                <w:szCs w:val="21"/>
              </w:rPr>
            </w:pPr>
          </w:p>
        </w:tc>
      </w:tr>
      <w:tr>
        <w:tblPrEx>
          <w:tblCellMar>
            <w:top w:w="0" w:type="dxa"/>
            <w:left w:w="0" w:type="dxa"/>
            <w:bottom w:w="0" w:type="dxa"/>
            <w:right w:w="0" w:type="dxa"/>
          </w:tblCellMar>
        </w:tblPrEx>
        <w:trPr>
          <w:trHeight w:val="567" w:hRule="atLeast"/>
          <w:jc w:val="center"/>
        </w:trPr>
        <w:tc>
          <w:tcPr>
            <w:tcW w:w="1168" w:type="dxa"/>
            <w:tcBorders>
              <w:top w:val="nil"/>
              <w:left w:val="single" w:color="000000" w:sz="12" w:space="0"/>
              <w:bottom w:val="single" w:color="000000" w:sz="8" w:space="0"/>
              <w:right w:val="single" w:color="000000" w:sz="8" w:space="0"/>
            </w:tcBorders>
            <w:shd w:val="clear" w:color="auto" w:fill="auto"/>
            <w:tcMar>
              <w:top w:w="15" w:type="dxa"/>
              <w:left w:w="15" w:type="dxa"/>
              <w:bottom w:w="15" w:type="dxa"/>
              <w:right w:w="15" w:type="dxa"/>
            </w:tcMar>
            <w:vAlign w:val="center"/>
          </w:tcPr>
          <w:p>
            <w:pPr>
              <w:numPr>
                <w:ilvl w:val="0"/>
                <w:numId w:val="1"/>
              </w:numPr>
              <w:ind w:left="0" w:leftChars="0" w:firstLine="0" w:firstLineChars="0"/>
              <w:jc w:val="center"/>
              <w:rPr>
                <w:rFonts w:hint="eastAsia" w:ascii="宋体" w:hAnsi="宋体" w:eastAsia="宋体" w:cs="宋体"/>
                <w:lang w:val="en-US" w:eastAsia="zh-CN"/>
              </w:rPr>
            </w:pPr>
          </w:p>
        </w:tc>
        <w:tc>
          <w:tcPr>
            <w:tcW w:w="2881" w:type="dxa"/>
            <w:gridSpan w:val="3"/>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widowControl/>
              <w:spacing w:line="240" w:lineRule="auto"/>
              <w:jc w:val="left"/>
              <w:rPr>
                <w:rFonts w:hint="eastAsia" w:asciiTheme="minorEastAsia" w:hAnsiTheme="minorEastAsia" w:eastAsiaTheme="minorEastAsia" w:cstheme="minorEastAsia"/>
                <w:sz w:val="21"/>
                <w:szCs w:val="21"/>
              </w:rPr>
            </w:pPr>
            <w:r>
              <w:t>设计单位未按照建筑节能强制性标准进行设计的</w:t>
            </w:r>
          </w:p>
        </w:tc>
        <w:tc>
          <w:tcPr>
            <w:tcW w:w="1104" w:type="dxa"/>
            <w:gridSpan w:val="2"/>
            <w:tcBorders>
              <w:top w:val="nil"/>
              <w:left w:val="nil"/>
              <w:bottom w:val="single" w:color="000000" w:sz="8" w:space="0"/>
              <w:right w:val="single" w:color="auto" w:sz="8" w:space="0"/>
            </w:tcBorders>
            <w:shd w:val="clear" w:color="auto" w:fill="auto"/>
            <w:tcMar>
              <w:top w:w="15" w:type="dxa"/>
              <w:left w:w="15" w:type="dxa"/>
              <w:bottom w:w="15" w:type="dxa"/>
              <w:right w:w="15" w:type="dxa"/>
            </w:tcMar>
            <w:vAlign w:val="center"/>
          </w:tcPr>
          <w:p>
            <w:pPr>
              <w:widowControl/>
              <w:spacing w:line="240" w:lineRule="auto"/>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eastAsia="zh-CN"/>
              </w:rPr>
              <w:t>区住建局</w:t>
            </w:r>
          </w:p>
        </w:tc>
        <w:tc>
          <w:tcPr>
            <w:tcW w:w="200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pStyle w:val="11"/>
              <w:spacing w:line="240" w:lineRule="auto"/>
              <w:jc w:val="both"/>
              <w:rPr>
                <w:rFonts w:hint="eastAsia" w:asciiTheme="minorEastAsia" w:hAnsiTheme="minorEastAsia" w:eastAsiaTheme="minorEastAsia" w:cstheme="minorEastAsia"/>
                <w:sz w:val="21"/>
                <w:szCs w:val="21"/>
              </w:rPr>
            </w:pPr>
            <w:r>
              <w:t>未达到情节严重的</w:t>
            </w:r>
          </w:p>
        </w:tc>
        <w:tc>
          <w:tcPr>
            <w:tcW w:w="6301"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widowControl/>
              <w:spacing w:line="240" w:lineRule="auto"/>
              <w:jc w:val="both"/>
              <w:rPr>
                <w:rFonts w:hint="eastAsia" w:asciiTheme="minorEastAsia" w:hAnsiTheme="minorEastAsia" w:eastAsiaTheme="minorEastAsia" w:cstheme="minorEastAsia"/>
                <w:sz w:val="21"/>
                <w:szCs w:val="21"/>
              </w:rPr>
            </w:pPr>
            <w:r>
              <w:t>《民用建筑节能管理规定》第二十七条：对未按照节能设计进行施工的施工单位，责令改正；整改所发生的工程费用，由施工单位负责；可以给予警告，情节严重的，处工程合同价款2％以上4％以下的罚款；两年内，累计三项工程未按照符合节能标准要求的设计进行施工的，责令停业整顿，降低资质等级或者吊销资质证书。</w:t>
            </w:r>
          </w:p>
        </w:tc>
        <w:tc>
          <w:tcPr>
            <w:tcW w:w="952" w:type="dxa"/>
            <w:tcBorders>
              <w:top w:val="nil"/>
              <w:left w:val="nil"/>
              <w:bottom w:val="single" w:color="000000" w:sz="8" w:space="0"/>
              <w:right w:val="single" w:color="000000" w:sz="12" w:space="0"/>
            </w:tcBorders>
            <w:shd w:val="clear" w:color="auto" w:fill="auto"/>
            <w:tcMar>
              <w:top w:w="15" w:type="dxa"/>
              <w:left w:w="15" w:type="dxa"/>
              <w:bottom w:w="15" w:type="dxa"/>
              <w:right w:w="15" w:type="dxa"/>
            </w:tcMar>
            <w:vAlign w:val="center"/>
          </w:tcPr>
          <w:p>
            <w:pPr>
              <w:widowControl/>
              <w:jc w:val="center"/>
              <w:rPr>
                <w:rFonts w:hint="eastAsia" w:asciiTheme="minorEastAsia" w:hAnsiTheme="minorEastAsia" w:eastAsiaTheme="minorEastAsia" w:cstheme="minorEastAsia"/>
                <w:kern w:val="0"/>
                <w:sz w:val="21"/>
                <w:szCs w:val="21"/>
              </w:rPr>
            </w:pPr>
          </w:p>
        </w:tc>
      </w:tr>
      <w:tr>
        <w:tblPrEx>
          <w:tblCellMar>
            <w:top w:w="0" w:type="dxa"/>
            <w:left w:w="0" w:type="dxa"/>
            <w:bottom w:w="0" w:type="dxa"/>
            <w:right w:w="0" w:type="dxa"/>
          </w:tblCellMar>
        </w:tblPrEx>
        <w:trPr>
          <w:trHeight w:val="567" w:hRule="atLeast"/>
          <w:jc w:val="center"/>
        </w:trPr>
        <w:tc>
          <w:tcPr>
            <w:tcW w:w="1168" w:type="dxa"/>
            <w:tcBorders>
              <w:top w:val="nil"/>
              <w:left w:val="single" w:color="000000" w:sz="12" w:space="0"/>
              <w:bottom w:val="single" w:color="000000" w:sz="8" w:space="0"/>
              <w:right w:val="single" w:color="000000" w:sz="8" w:space="0"/>
            </w:tcBorders>
            <w:shd w:val="clear" w:color="auto" w:fill="auto"/>
            <w:tcMar>
              <w:top w:w="15" w:type="dxa"/>
              <w:left w:w="15" w:type="dxa"/>
              <w:bottom w:w="15" w:type="dxa"/>
              <w:right w:w="15" w:type="dxa"/>
            </w:tcMar>
            <w:vAlign w:val="center"/>
          </w:tcPr>
          <w:p>
            <w:pPr>
              <w:numPr>
                <w:ilvl w:val="0"/>
                <w:numId w:val="1"/>
              </w:numPr>
              <w:ind w:left="0" w:leftChars="0" w:firstLine="0" w:firstLineChars="0"/>
              <w:jc w:val="center"/>
              <w:rPr>
                <w:rFonts w:hint="eastAsia" w:ascii="宋体" w:hAnsi="宋体" w:eastAsia="宋体" w:cs="宋体"/>
                <w:lang w:val="en-US" w:eastAsia="zh-CN"/>
              </w:rPr>
            </w:pPr>
          </w:p>
        </w:tc>
        <w:tc>
          <w:tcPr>
            <w:tcW w:w="2881" w:type="dxa"/>
            <w:gridSpan w:val="3"/>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t>依法应当进行消防设计审查的建设工程，未经依法审查或者审查不合格，擅自施工的</w:t>
            </w:r>
          </w:p>
        </w:tc>
        <w:tc>
          <w:tcPr>
            <w:tcW w:w="1104" w:type="dxa"/>
            <w:gridSpan w:val="2"/>
            <w:tcBorders>
              <w:top w:val="nil"/>
              <w:left w:val="nil"/>
              <w:bottom w:val="single" w:color="000000" w:sz="8" w:space="0"/>
              <w:right w:val="single" w:color="auto" w:sz="8"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eastAsia="zh-CN"/>
              </w:rPr>
              <w:t>区住建局</w:t>
            </w:r>
          </w:p>
        </w:tc>
        <w:tc>
          <w:tcPr>
            <w:tcW w:w="200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t>施工进度在正负零以下</w:t>
            </w:r>
          </w:p>
        </w:tc>
        <w:tc>
          <w:tcPr>
            <w:tcW w:w="6301"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t>《中华人民共和国消防法》第五十八条：违反本法规定，有下列行为之一的，由住房和城乡建设主管部门、消防救援机构按照各自职权责令停止施工、停止使用或者停产停业，并处三万元以上三十万元以下罚款：</w:t>
            </w:r>
            <w:r>
              <w:br w:type="textWrapping"/>
            </w:r>
            <w:r>
              <w:t>（一）依法应当进行消防设计审查的建设工程，未经依法审查或者审查不合格，擅自施工的；</w:t>
            </w:r>
          </w:p>
        </w:tc>
        <w:tc>
          <w:tcPr>
            <w:tcW w:w="952" w:type="dxa"/>
            <w:tcBorders>
              <w:top w:val="nil"/>
              <w:left w:val="nil"/>
              <w:bottom w:val="single" w:color="000000" w:sz="8" w:space="0"/>
              <w:right w:val="single" w:color="000000" w:sz="12" w:space="0"/>
            </w:tcBorders>
            <w:shd w:val="clear" w:color="auto" w:fill="auto"/>
            <w:tcMar>
              <w:top w:w="15" w:type="dxa"/>
              <w:left w:w="15" w:type="dxa"/>
              <w:bottom w:w="15" w:type="dxa"/>
              <w:right w:w="15" w:type="dxa"/>
            </w:tcMar>
            <w:vAlign w:val="center"/>
          </w:tcPr>
          <w:p>
            <w:pPr>
              <w:widowControl/>
              <w:jc w:val="center"/>
              <w:rPr>
                <w:rFonts w:hint="eastAsia" w:asciiTheme="minorEastAsia" w:hAnsiTheme="minorEastAsia" w:eastAsiaTheme="minorEastAsia" w:cstheme="minorEastAsia"/>
                <w:kern w:val="0"/>
                <w:sz w:val="21"/>
                <w:szCs w:val="21"/>
              </w:rPr>
            </w:pPr>
          </w:p>
        </w:tc>
      </w:tr>
      <w:tr>
        <w:tblPrEx>
          <w:tblCellMar>
            <w:top w:w="0" w:type="dxa"/>
            <w:left w:w="0" w:type="dxa"/>
            <w:bottom w:w="0" w:type="dxa"/>
            <w:right w:w="0" w:type="dxa"/>
          </w:tblCellMar>
        </w:tblPrEx>
        <w:trPr>
          <w:trHeight w:val="567" w:hRule="atLeast"/>
          <w:jc w:val="center"/>
        </w:trPr>
        <w:tc>
          <w:tcPr>
            <w:tcW w:w="1168" w:type="dxa"/>
            <w:tcBorders>
              <w:top w:val="nil"/>
              <w:left w:val="single" w:color="000000" w:sz="12" w:space="0"/>
              <w:bottom w:val="single" w:color="000000" w:sz="8" w:space="0"/>
              <w:right w:val="single" w:color="000000" w:sz="8" w:space="0"/>
            </w:tcBorders>
            <w:shd w:val="clear" w:color="auto" w:fill="auto"/>
            <w:tcMar>
              <w:top w:w="15" w:type="dxa"/>
              <w:left w:w="15" w:type="dxa"/>
              <w:bottom w:w="15" w:type="dxa"/>
              <w:right w:w="15" w:type="dxa"/>
            </w:tcMar>
            <w:vAlign w:val="center"/>
          </w:tcPr>
          <w:p>
            <w:pPr>
              <w:numPr>
                <w:ilvl w:val="0"/>
                <w:numId w:val="1"/>
              </w:numPr>
              <w:ind w:left="0" w:leftChars="0" w:firstLine="0" w:firstLineChars="0"/>
              <w:jc w:val="center"/>
              <w:rPr>
                <w:rFonts w:hint="eastAsia" w:ascii="宋体" w:hAnsi="宋体" w:eastAsia="宋体" w:cs="宋体"/>
                <w:lang w:val="en-US" w:eastAsia="zh-CN"/>
              </w:rPr>
            </w:pPr>
          </w:p>
        </w:tc>
        <w:tc>
          <w:tcPr>
            <w:tcW w:w="2881" w:type="dxa"/>
            <w:gridSpan w:val="3"/>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t>依法应当进行消防验收的建设工程，未经消防验收或者消防验收不合格，擅自投入使用的</w:t>
            </w:r>
          </w:p>
        </w:tc>
        <w:tc>
          <w:tcPr>
            <w:tcW w:w="1104" w:type="dxa"/>
            <w:gridSpan w:val="2"/>
            <w:tcBorders>
              <w:top w:val="nil"/>
              <w:left w:val="nil"/>
              <w:bottom w:val="single" w:color="000000" w:sz="8" w:space="0"/>
              <w:right w:val="single" w:color="auto" w:sz="8"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eastAsia="zh-CN"/>
              </w:rPr>
              <w:t>区住建局</w:t>
            </w:r>
          </w:p>
        </w:tc>
        <w:tc>
          <w:tcPr>
            <w:tcW w:w="200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t>消防验收报验不合格，擅自投入使用</w:t>
            </w:r>
          </w:p>
        </w:tc>
        <w:tc>
          <w:tcPr>
            <w:tcW w:w="6301"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t>《中华人民共和国消防法》第五十八条：违反本法规定，有下列行为之一的，由住房和城乡建设主管部门、消防救援机构按照各自职权责令停止施工、停止使用或者停产停业，并处三万元以上三十万元以下罚款：</w:t>
            </w:r>
            <w:r>
              <w:br w:type="textWrapping"/>
            </w:r>
            <w:r>
              <w:t>（二）依法应当进行消防验收的建设工程，未经消防验收或者消防验收不合格，擅自投入使用的；</w:t>
            </w:r>
          </w:p>
        </w:tc>
        <w:tc>
          <w:tcPr>
            <w:tcW w:w="952" w:type="dxa"/>
            <w:tcBorders>
              <w:top w:val="nil"/>
              <w:left w:val="nil"/>
              <w:bottom w:val="single" w:color="000000" w:sz="8" w:space="0"/>
              <w:right w:val="single" w:color="000000" w:sz="12" w:space="0"/>
            </w:tcBorders>
            <w:shd w:val="clear" w:color="auto" w:fill="auto"/>
            <w:tcMar>
              <w:top w:w="15" w:type="dxa"/>
              <w:left w:w="15" w:type="dxa"/>
              <w:bottom w:w="15" w:type="dxa"/>
              <w:right w:w="15" w:type="dxa"/>
            </w:tcMar>
            <w:vAlign w:val="center"/>
          </w:tcPr>
          <w:p>
            <w:pPr>
              <w:widowControl/>
              <w:jc w:val="center"/>
              <w:rPr>
                <w:rFonts w:hint="eastAsia" w:asciiTheme="minorEastAsia" w:hAnsiTheme="minorEastAsia" w:eastAsiaTheme="minorEastAsia" w:cstheme="minorEastAsia"/>
                <w:kern w:val="0"/>
                <w:sz w:val="21"/>
                <w:szCs w:val="21"/>
              </w:rPr>
            </w:pPr>
          </w:p>
        </w:tc>
      </w:tr>
      <w:tr>
        <w:tblPrEx>
          <w:tblCellMar>
            <w:top w:w="0" w:type="dxa"/>
            <w:left w:w="0" w:type="dxa"/>
            <w:bottom w:w="0" w:type="dxa"/>
            <w:right w:w="0" w:type="dxa"/>
          </w:tblCellMar>
        </w:tblPrEx>
        <w:trPr>
          <w:trHeight w:val="567" w:hRule="atLeast"/>
          <w:jc w:val="center"/>
        </w:trPr>
        <w:tc>
          <w:tcPr>
            <w:tcW w:w="1168" w:type="dxa"/>
            <w:tcBorders>
              <w:top w:val="nil"/>
              <w:left w:val="single" w:color="000000" w:sz="12" w:space="0"/>
              <w:bottom w:val="single" w:color="000000" w:sz="8" w:space="0"/>
              <w:right w:val="single" w:color="000000" w:sz="8" w:space="0"/>
            </w:tcBorders>
            <w:shd w:val="clear" w:color="auto" w:fill="auto"/>
            <w:tcMar>
              <w:top w:w="15" w:type="dxa"/>
              <w:left w:w="15" w:type="dxa"/>
              <w:bottom w:w="15" w:type="dxa"/>
              <w:right w:w="15" w:type="dxa"/>
            </w:tcMar>
            <w:vAlign w:val="center"/>
          </w:tcPr>
          <w:p>
            <w:pPr>
              <w:numPr>
                <w:ilvl w:val="0"/>
                <w:numId w:val="1"/>
              </w:numPr>
              <w:ind w:left="0" w:leftChars="0" w:firstLine="0" w:firstLineChars="0"/>
              <w:jc w:val="center"/>
              <w:rPr>
                <w:rFonts w:hint="eastAsia" w:ascii="宋体" w:hAnsi="宋体" w:eastAsia="宋体" w:cs="宋体"/>
                <w:lang w:val="en-US" w:eastAsia="zh-CN"/>
              </w:rPr>
            </w:pPr>
          </w:p>
        </w:tc>
        <w:tc>
          <w:tcPr>
            <w:tcW w:w="2881" w:type="dxa"/>
            <w:gridSpan w:val="3"/>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t>建设单位要求建筑设计单位或者建筑施工企业降低消防技术标准设计、施工的</w:t>
            </w:r>
          </w:p>
        </w:tc>
        <w:tc>
          <w:tcPr>
            <w:tcW w:w="1104" w:type="dxa"/>
            <w:gridSpan w:val="2"/>
            <w:tcBorders>
              <w:top w:val="nil"/>
              <w:left w:val="nil"/>
              <w:bottom w:val="single" w:color="000000" w:sz="8" w:space="0"/>
              <w:right w:val="single" w:color="auto" w:sz="8"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eastAsia="zh-CN"/>
              </w:rPr>
              <w:t>区住建局</w:t>
            </w:r>
          </w:p>
        </w:tc>
        <w:tc>
          <w:tcPr>
            <w:tcW w:w="200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t>未造成后果或轻微危害后果</w:t>
            </w:r>
          </w:p>
        </w:tc>
        <w:tc>
          <w:tcPr>
            <w:tcW w:w="6301"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t>《中华人民共和国消防法》第五十九条：违反本法规定，有下列行为之一的，由住房和城乡建设主管部门责令改正或者停止施工，并处一万元以上十万元以下罚款：</w:t>
            </w:r>
            <w:r>
              <w:br w:type="textWrapping"/>
            </w:r>
            <w:r>
              <w:t>（一）建设单位要求建筑设计单位或者建筑施工企业降低消防技术标准设计、施工的；</w:t>
            </w:r>
          </w:p>
        </w:tc>
        <w:tc>
          <w:tcPr>
            <w:tcW w:w="952" w:type="dxa"/>
            <w:tcBorders>
              <w:top w:val="nil"/>
              <w:left w:val="nil"/>
              <w:bottom w:val="single" w:color="000000" w:sz="8" w:space="0"/>
              <w:right w:val="single" w:color="000000" w:sz="12" w:space="0"/>
            </w:tcBorders>
            <w:shd w:val="clear" w:color="auto" w:fill="auto"/>
            <w:tcMar>
              <w:top w:w="15" w:type="dxa"/>
              <w:left w:w="15" w:type="dxa"/>
              <w:bottom w:w="15" w:type="dxa"/>
              <w:right w:w="15" w:type="dxa"/>
            </w:tcMar>
            <w:vAlign w:val="center"/>
          </w:tcPr>
          <w:p>
            <w:pPr>
              <w:widowControl/>
              <w:jc w:val="center"/>
              <w:rPr>
                <w:rFonts w:hint="eastAsia" w:asciiTheme="minorEastAsia" w:hAnsiTheme="minorEastAsia" w:eastAsiaTheme="minorEastAsia" w:cstheme="minorEastAsia"/>
                <w:kern w:val="0"/>
                <w:sz w:val="21"/>
                <w:szCs w:val="21"/>
              </w:rPr>
            </w:pPr>
          </w:p>
        </w:tc>
      </w:tr>
      <w:tr>
        <w:tblPrEx>
          <w:tblCellMar>
            <w:top w:w="0" w:type="dxa"/>
            <w:left w:w="0" w:type="dxa"/>
            <w:bottom w:w="0" w:type="dxa"/>
            <w:right w:w="0" w:type="dxa"/>
          </w:tblCellMar>
        </w:tblPrEx>
        <w:trPr>
          <w:trHeight w:val="567" w:hRule="atLeast"/>
          <w:jc w:val="center"/>
        </w:trPr>
        <w:tc>
          <w:tcPr>
            <w:tcW w:w="1168" w:type="dxa"/>
            <w:tcBorders>
              <w:top w:val="nil"/>
              <w:left w:val="single" w:color="000000" w:sz="12" w:space="0"/>
              <w:bottom w:val="single" w:color="000000" w:sz="8" w:space="0"/>
              <w:right w:val="single" w:color="000000" w:sz="8" w:space="0"/>
            </w:tcBorders>
            <w:shd w:val="clear" w:color="auto" w:fill="auto"/>
            <w:tcMar>
              <w:top w:w="15" w:type="dxa"/>
              <w:left w:w="15" w:type="dxa"/>
              <w:bottom w:w="15" w:type="dxa"/>
              <w:right w:w="15" w:type="dxa"/>
            </w:tcMar>
            <w:vAlign w:val="center"/>
          </w:tcPr>
          <w:p>
            <w:pPr>
              <w:numPr>
                <w:ilvl w:val="0"/>
                <w:numId w:val="1"/>
              </w:numPr>
              <w:ind w:left="0" w:leftChars="0" w:firstLine="0" w:firstLineChars="0"/>
              <w:jc w:val="center"/>
              <w:rPr>
                <w:rFonts w:hint="eastAsia" w:ascii="宋体" w:hAnsi="宋体" w:eastAsia="宋体" w:cs="宋体"/>
                <w:lang w:val="en-US" w:eastAsia="zh-CN"/>
              </w:rPr>
            </w:pPr>
          </w:p>
        </w:tc>
        <w:tc>
          <w:tcPr>
            <w:tcW w:w="2881" w:type="dxa"/>
            <w:gridSpan w:val="3"/>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t>建筑设计单位不按照消防技术标准强制性要求进行消防设计的</w:t>
            </w:r>
          </w:p>
        </w:tc>
        <w:tc>
          <w:tcPr>
            <w:tcW w:w="1104" w:type="dxa"/>
            <w:gridSpan w:val="2"/>
            <w:tcBorders>
              <w:top w:val="nil"/>
              <w:left w:val="nil"/>
              <w:bottom w:val="single" w:color="000000" w:sz="8" w:space="0"/>
              <w:right w:val="single" w:color="auto" w:sz="8"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eastAsia="zh-CN"/>
              </w:rPr>
              <w:t>区住建局</w:t>
            </w:r>
          </w:p>
        </w:tc>
        <w:tc>
          <w:tcPr>
            <w:tcW w:w="200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t>有三条及以下含三条未按照消防技术标准强制性要求进行消防设计</w:t>
            </w:r>
          </w:p>
        </w:tc>
        <w:tc>
          <w:tcPr>
            <w:tcW w:w="6301"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t>《中华人民共和国消防法》第五十九条：违反本法规定，有下列行为之一的，由住房和城乡建设主管部门责令改正或者停止施工，并处一万元以上十万元以下罚款：</w:t>
            </w:r>
            <w:r>
              <w:br w:type="textWrapping"/>
            </w:r>
            <w:r>
              <w:t>（二）建筑设计单位不按照消防技术标准强制性要求进行消防设计的；</w:t>
            </w:r>
          </w:p>
        </w:tc>
        <w:tc>
          <w:tcPr>
            <w:tcW w:w="952" w:type="dxa"/>
            <w:tcBorders>
              <w:top w:val="nil"/>
              <w:left w:val="nil"/>
              <w:bottom w:val="single" w:color="000000" w:sz="8" w:space="0"/>
              <w:right w:val="single" w:color="000000" w:sz="12" w:space="0"/>
            </w:tcBorders>
            <w:shd w:val="clear" w:color="auto" w:fill="auto"/>
            <w:tcMar>
              <w:top w:w="15" w:type="dxa"/>
              <w:left w:w="15" w:type="dxa"/>
              <w:bottom w:w="15" w:type="dxa"/>
              <w:right w:w="15" w:type="dxa"/>
            </w:tcMar>
            <w:vAlign w:val="center"/>
          </w:tcPr>
          <w:p>
            <w:pPr>
              <w:widowControl/>
              <w:jc w:val="center"/>
              <w:rPr>
                <w:rFonts w:hint="eastAsia" w:asciiTheme="minorEastAsia" w:hAnsiTheme="minorEastAsia" w:eastAsiaTheme="minorEastAsia" w:cstheme="minorEastAsia"/>
                <w:kern w:val="0"/>
                <w:sz w:val="21"/>
                <w:szCs w:val="21"/>
              </w:rPr>
            </w:pPr>
          </w:p>
        </w:tc>
      </w:tr>
      <w:tr>
        <w:tblPrEx>
          <w:tblCellMar>
            <w:top w:w="0" w:type="dxa"/>
            <w:left w:w="0" w:type="dxa"/>
            <w:bottom w:w="0" w:type="dxa"/>
            <w:right w:w="0" w:type="dxa"/>
          </w:tblCellMar>
        </w:tblPrEx>
        <w:trPr>
          <w:trHeight w:val="567" w:hRule="atLeast"/>
          <w:jc w:val="center"/>
        </w:trPr>
        <w:tc>
          <w:tcPr>
            <w:tcW w:w="1168" w:type="dxa"/>
            <w:tcBorders>
              <w:top w:val="nil"/>
              <w:left w:val="single" w:color="000000" w:sz="12" w:space="0"/>
              <w:bottom w:val="single" w:color="000000" w:sz="8" w:space="0"/>
              <w:right w:val="single" w:color="000000" w:sz="8" w:space="0"/>
            </w:tcBorders>
            <w:shd w:val="clear" w:color="auto" w:fill="auto"/>
            <w:tcMar>
              <w:top w:w="15" w:type="dxa"/>
              <w:left w:w="15" w:type="dxa"/>
              <w:bottom w:w="15" w:type="dxa"/>
              <w:right w:w="15" w:type="dxa"/>
            </w:tcMar>
            <w:vAlign w:val="center"/>
          </w:tcPr>
          <w:p>
            <w:pPr>
              <w:numPr>
                <w:ilvl w:val="0"/>
                <w:numId w:val="1"/>
              </w:numPr>
              <w:ind w:left="0" w:leftChars="0" w:firstLine="0" w:firstLineChars="0"/>
              <w:jc w:val="center"/>
              <w:rPr>
                <w:rFonts w:hint="eastAsia" w:ascii="宋体" w:hAnsi="宋体" w:eastAsia="宋体" w:cs="宋体"/>
                <w:lang w:val="en-US" w:eastAsia="zh-CN"/>
              </w:rPr>
            </w:pPr>
          </w:p>
        </w:tc>
        <w:tc>
          <w:tcPr>
            <w:tcW w:w="2881" w:type="dxa"/>
            <w:gridSpan w:val="3"/>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t>建筑施工企业不按照消防设计文件和消防技术标准施工，降低消防施工质量的</w:t>
            </w:r>
          </w:p>
        </w:tc>
        <w:tc>
          <w:tcPr>
            <w:tcW w:w="1104" w:type="dxa"/>
            <w:gridSpan w:val="2"/>
            <w:tcBorders>
              <w:top w:val="nil"/>
              <w:left w:val="nil"/>
              <w:bottom w:val="single" w:color="000000" w:sz="8" w:space="0"/>
              <w:right w:val="single" w:color="auto" w:sz="8"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eastAsia="zh-CN"/>
              </w:rPr>
              <w:t>区住建局</w:t>
            </w:r>
          </w:p>
        </w:tc>
        <w:tc>
          <w:tcPr>
            <w:tcW w:w="200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t>施工进度在正负零以下</w:t>
            </w:r>
          </w:p>
        </w:tc>
        <w:tc>
          <w:tcPr>
            <w:tcW w:w="6301"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t>《中华人民共和国消防法》第五十九条：违反本法规定，有下列行为之一的，由住房和城乡建设主管部门责令改正或者停止施工，并处一万元以上十万元以下罚款：</w:t>
            </w:r>
            <w:r>
              <w:br w:type="textWrapping"/>
            </w:r>
            <w:r>
              <w:t>（三）建筑施工企业不按照消防设计文件和消防技术标准施工，降低消防施工质量的；</w:t>
            </w:r>
          </w:p>
        </w:tc>
        <w:tc>
          <w:tcPr>
            <w:tcW w:w="952" w:type="dxa"/>
            <w:tcBorders>
              <w:top w:val="nil"/>
              <w:left w:val="nil"/>
              <w:bottom w:val="single" w:color="000000" w:sz="8" w:space="0"/>
              <w:right w:val="single" w:color="000000" w:sz="12" w:space="0"/>
            </w:tcBorders>
            <w:shd w:val="clear" w:color="auto" w:fill="auto"/>
            <w:tcMar>
              <w:top w:w="15" w:type="dxa"/>
              <w:left w:w="15" w:type="dxa"/>
              <w:bottom w:w="15" w:type="dxa"/>
              <w:right w:w="15" w:type="dxa"/>
            </w:tcMar>
            <w:vAlign w:val="center"/>
          </w:tcPr>
          <w:p>
            <w:pPr>
              <w:widowControl/>
              <w:jc w:val="center"/>
              <w:rPr>
                <w:rFonts w:hint="eastAsia" w:asciiTheme="minorEastAsia" w:hAnsiTheme="minorEastAsia" w:eastAsiaTheme="minorEastAsia" w:cstheme="minorEastAsia"/>
                <w:kern w:val="0"/>
                <w:sz w:val="21"/>
                <w:szCs w:val="21"/>
              </w:rPr>
            </w:pPr>
          </w:p>
        </w:tc>
      </w:tr>
      <w:tr>
        <w:tblPrEx>
          <w:tblCellMar>
            <w:top w:w="0" w:type="dxa"/>
            <w:left w:w="0" w:type="dxa"/>
            <w:bottom w:w="0" w:type="dxa"/>
            <w:right w:w="0" w:type="dxa"/>
          </w:tblCellMar>
        </w:tblPrEx>
        <w:trPr>
          <w:trHeight w:val="567" w:hRule="atLeast"/>
          <w:jc w:val="center"/>
        </w:trPr>
        <w:tc>
          <w:tcPr>
            <w:tcW w:w="1168" w:type="dxa"/>
            <w:tcBorders>
              <w:top w:val="nil"/>
              <w:left w:val="single" w:color="000000" w:sz="12" w:space="0"/>
              <w:bottom w:val="single" w:color="000000" w:sz="8" w:space="0"/>
              <w:right w:val="single" w:color="000000" w:sz="8" w:space="0"/>
            </w:tcBorders>
            <w:shd w:val="clear" w:color="auto" w:fill="auto"/>
            <w:tcMar>
              <w:top w:w="15" w:type="dxa"/>
              <w:left w:w="15" w:type="dxa"/>
              <w:bottom w:w="15" w:type="dxa"/>
              <w:right w:w="15" w:type="dxa"/>
            </w:tcMar>
            <w:vAlign w:val="center"/>
          </w:tcPr>
          <w:p>
            <w:pPr>
              <w:numPr>
                <w:ilvl w:val="0"/>
                <w:numId w:val="1"/>
              </w:numPr>
              <w:ind w:left="0" w:leftChars="0" w:firstLine="0" w:firstLineChars="0"/>
              <w:jc w:val="center"/>
              <w:rPr>
                <w:rFonts w:hint="eastAsia" w:ascii="宋体" w:hAnsi="宋体" w:eastAsia="宋体" w:cs="宋体"/>
                <w:lang w:val="en-US" w:eastAsia="zh-CN"/>
              </w:rPr>
            </w:pPr>
          </w:p>
        </w:tc>
        <w:tc>
          <w:tcPr>
            <w:tcW w:w="2881" w:type="dxa"/>
            <w:gridSpan w:val="3"/>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t>工程监理单位与建设单位或者建筑施工企业串通，弄虚作假，降低消防施工质量的</w:t>
            </w:r>
          </w:p>
        </w:tc>
        <w:tc>
          <w:tcPr>
            <w:tcW w:w="1104" w:type="dxa"/>
            <w:gridSpan w:val="2"/>
            <w:tcBorders>
              <w:top w:val="nil"/>
              <w:left w:val="nil"/>
              <w:bottom w:val="single" w:color="000000" w:sz="8" w:space="0"/>
              <w:right w:val="single" w:color="auto" w:sz="8"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eastAsia="zh-CN"/>
              </w:rPr>
              <w:t>区住建局</w:t>
            </w:r>
          </w:p>
        </w:tc>
        <w:tc>
          <w:tcPr>
            <w:tcW w:w="200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t>施工进度在正负零以下</w:t>
            </w:r>
          </w:p>
        </w:tc>
        <w:tc>
          <w:tcPr>
            <w:tcW w:w="6301"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1"/>
                <w:szCs w:val="21"/>
              </w:rPr>
            </w:pPr>
            <w:r>
              <w:t>《中华人民共和国消防法》第五十九条：违反本法规定，有下列行为之一的，由住房和城乡建设主管部门责令改正或者停止施工，并处一万元以上十万元以下罚款：</w:t>
            </w:r>
            <w:r>
              <w:br w:type="textWrapping"/>
            </w:r>
            <w:r>
              <w:t>（四）工程监理单位与建设单位或者建筑施工企业串通，弄虚作假，降低消防施工质量的。</w:t>
            </w:r>
          </w:p>
        </w:tc>
        <w:tc>
          <w:tcPr>
            <w:tcW w:w="952" w:type="dxa"/>
            <w:tcBorders>
              <w:top w:val="nil"/>
              <w:left w:val="nil"/>
              <w:bottom w:val="single" w:color="000000" w:sz="8" w:space="0"/>
              <w:right w:val="single" w:color="000000" w:sz="12" w:space="0"/>
            </w:tcBorders>
            <w:shd w:val="clear" w:color="auto" w:fill="auto"/>
            <w:tcMar>
              <w:top w:w="15" w:type="dxa"/>
              <w:left w:w="15" w:type="dxa"/>
              <w:bottom w:w="15" w:type="dxa"/>
              <w:right w:w="15" w:type="dxa"/>
            </w:tcMar>
            <w:vAlign w:val="center"/>
          </w:tcPr>
          <w:p>
            <w:pPr>
              <w:widowControl/>
              <w:jc w:val="center"/>
              <w:rPr>
                <w:rFonts w:hint="eastAsia" w:asciiTheme="minorEastAsia" w:hAnsiTheme="minorEastAsia" w:eastAsiaTheme="minorEastAsia" w:cstheme="minorEastAsia"/>
                <w:kern w:val="0"/>
                <w:sz w:val="21"/>
                <w:szCs w:val="21"/>
              </w:rPr>
            </w:pPr>
          </w:p>
        </w:tc>
      </w:tr>
      <w:tr>
        <w:tblPrEx>
          <w:tblCellMar>
            <w:top w:w="0" w:type="dxa"/>
            <w:left w:w="0" w:type="dxa"/>
            <w:bottom w:w="0" w:type="dxa"/>
            <w:right w:w="0" w:type="dxa"/>
          </w:tblCellMar>
        </w:tblPrEx>
        <w:trPr>
          <w:trHeight w:val="567" w:hRule="atLeast"/>
          <w:jc w:val="center"/>
        </w:trPr>
        <w:tc>
          <w:tcPr>
            <w:tcW w:w="1168" w:type="dxa"/>
            <w:tcBorders>
              <w:top w:val="nil"/>
              <w:left w:val="single" w:color="000000" w:sz="12" w:space="0"/>
              <w:bottom w:val="single" w:color="000000" w:sz="8" w:space="0"/>
              <w:right w:val="single" w:color="000000" w:sz="8" w:space="0"/>
            </w:tcBorders>
            <w:shd w:val="clear" w:color="auto" w:fill="auto"/>
            <w:tcMar>
              <w:top w:w="15" w:type="dxa"/>
              <w:left w:w="15" w:type="dxa"/>
              <w:bottom w:w="15" w:type="dxa"/>
              <w:right w:w="15" w:type="dxa"/>
            </w:tcMar>
            <w:vAlign w:val="center"/>
          </w:tcPr>
          <w:p>
            <w:pPr>
              <w:rPr>
                <w:rFonts w:hint="default"/>
                <w:lang w:val="en-US" w:eastAsia="zh-CN"/>
              </w:rPr>
            </w:pPr>
          </w:p>
        </w:tc>
        <w:tc>
          <w:tcPr>
            <w:tcW w:w="2881" w:type="dxa"/>
            <w:gridSpan w:val="3"/>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widowControl/>
              <w:jc w:val="both"/>
              <w:rPr>
                <w:rFonts w:hint="eastAsia" w:asciiTheme="minorEastAsia" w:hAnsiTheme="minorEastAsia" w:eastAsiaTheme="minorEastAsia" w:cstheme="minorEastAsia"/>
                <w:sz w:val="21"/>
                <w:szCs w:val="21"/>
              </w:rPr>
            </w:pPr>
          </w:p>
        </w:tc>
        <w:tc>
          <w:tcPr>
            <w:tcW w:w="1104" w:type="dxa"/>
            <w:gridSpan w:val="2"/>
            <w:tcBorders>
              <w:top w:val="nil"/>
              <w:left w:val="nil"/>
              <w:bottom w:val="single" w:color="000000" w:sz="8" w:space="0"/>
              <w:right w:val="single" w:color="auto" w:sz="8" w:space="0"/>
            </w:tcBorders>
            <w:shd w:val="clear" w:color="auto" w:fill="auto"/>
            <w:tcMar>
              <w:top w:w="15" w:type="dxa"/>
              <w:left w:w="15" w:type="dxa"/>
              <w:bottom w:w="15" w:type="dxa"/>
              <w:right w:w="15" w:type="dxa"/>
            </w:tcMar>
            <w:vAlign w:val="center"/>
          </w:tcPr>
          <w:p>
            <w:pPr>
              <w:widowControl/>
              <w:jc w:val="center"/>
              <w:rPr>
                <w:rFonts w:hint="eastAsia" w:asciiTheme="minorEastAsia" w:hAnsiTheme="minorEastAsia" w:eastAsiaTheme="minorEastAsia" w:cstheme="minorEastAsia"/>
                <w:kern w:val="0"/>
                <w:sz w:val="21"/>
                <w:szCs w:val="21"/>
              </w:rPr>
            </w:pPr>
          </w:p>
        </w:tc>
        <w:tc>
          <w:tcPr>
            <w:tcW w:w="200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widowControl/>
              <w:jc w:val="both"/>
              <w:rPr>
                <w:rFonts w:hint="eastAsia" w:asciiTheme="minorEastAsia" w:hAnsiTheme="minorEastAsia" w:eastAsiaTheme="minorEastAsia" w:cstheme="minorEastAsia"/>
                <w:sz w:val="21"/>
                <w:szCs w:val="21"/>
              </w:rPr>
            </w:pPr>
          </w:p>
        </w:tc>
        <w:tc>
          <w:tcPr>
            <w:tcW w:w="6301"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widowControl/>
              <w:jc w:val="both"/>
              <w:rPr>
                <w:rFonts w:hint="eastAsia" w:asciiTheme="minorEastAsia" w:hAnsiTheme="minorEastAsia" w:eastAsiaTheme="minorEastAsia" w:cstheme="minorEastAsia"/>
                <w:sz w:val="21"/>
                <w:szCs w:val="21"/>
              </w:rPr>
            </w:pPr>
          </w:p>
        </w:tc>
        <w:tc>
          <w:tcPr>
            <w:tcW w:w="952" w:type="dxa"/>
            <w:tcBorders>
              <w:top w:val="nil"/>
              <w:left w:val="nil"/>
              <w:bottom w:val="single" w:color="000000" w:sz="8" w:space="0"/>
              <w:right w:val="single" w:color="000000" w:sz="12" w:space="0"/>
            </w:tcBorders>
            <w:shd w:val="clear" w:color="auto" w:fill="auto"/>
            <w:tcMar>
              <w:top w:w="15" w:type="dxa"/>
              <w:left w:w="15" w:type="dxa"/>
              <w:bottom w:w="15" w:type="dxa"/>
              <w:right w:w="15" w:type="dxa"/>
            </w:tcMar>
            <w:vAlign w:val="center"/>
          </w:tcPr>
          <w:p>
            <w:pPr>
              <w:widowControl/>
              <w:jc w:val="center"/>
              <w:rPr>
                <w:rFonts w:hint="eastAsia" w:asciiTheme="minorEastAsia" w:hAnsiTheme="minorEastAsia" w:eastAsiaTheme="minorEastAsia" w:cstheme="minorEastAsia"/>
                <w:kern w:val="0"/>
                <w:sz w:val="21"/>
                <w:szCs w:val="21"/>
              </w:rPr>
            </w:pPr>
          </w:p>
        </w:tc>
      </w:tr>
      <w:tr>
        <w:tblPrEx>
          <w:tblCellMar>
            <w:top w:w="0" w:type="dxa"/>
            <w:left w:w="0" w:type="dxa"/>
            <w:bottom w:w="0" w:type="dxa"/>
            <w:right w:w="0" w:type="dxa"/>
          </w:tblCellMar>
        </w:tblPrEx>
        <w:trPr>
          <w:trHeight w:val="567" w:hRule="atLeast"/>
          <w:jc w:val="center"/>
        </w:trPr>
        <w:tc>
          <w:tcPr>
            <w:tcW w:w="1168" w:type="dxa"/>
            <w:tcBorders>
              <w:top w:val="nil"/>
              <w:left w:val="single" w:color="000000" w:sz="12" w:space="0"/>
              <w:bottom w:val="single" w:color="000000" w:sz="8" w:space="0"/>
              <w:right w:val="single" w:color="000000" w:sz="8" w:space="0"/>
            </w:tcBorders>
            <w:shd w:val="clear" w:color="auto" w:fill="auto"/>
            <w:tcMar>
              <w:top w:w="15" w:type="dxa"/>
              <w:left w:w="15" w:type="dxa"/>
              <w:bottom w:w="15" w:type="dxa"/>
              <w:right w:w="15" w:type="dxa"/>
            </w:tcMar>
            <w:vAlign w:val="center"/>
          </w:tcPr>
          <w:p>
            <w:pPr>
              <w:rPr>
                <w:rFonts w:hint="default"/>
                <w:lang w:val="en-US" w:eastAsia="zh-CN"/>
              </w:rPr>
            </w:pPr>
          </w:p>
        </w:tc>
        <w:tc>
          <w:tcPr>
            <w:tcW w:w="2881" w:type="dxa"/>
            <w:gridSpan w:val="3"/>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widowControl/>
              <w:jc w:val="both"/>
              <w:rPr>
                <w:rFonts w:hint="eastAsia" w:asciiTheme="minorEastAsia" w:hAnsiTheme="minorEastAsia" w:eastAsiaTheme="minorEastAsia" w:cstheme="minorEastAsia"/>
                <w:sz w:val="21"/>
                <w:szCs w:val="21"/>
              </w:rPr>
            </w:pPr>
          </w:p>
        </w:tc>
        <w:tc>
          <w:tcPr>
            <w:tcW w:w="1104" w:type="dxa"/>
            <w:gridSpan w:val="2"/>
            <w:tcBorders>
              <w:top w:val="nil"/>
              <w:left w:val="nil"/>
              <w:bottom w:val="single" w:color="000000" w:sz="8" w:space="0"/>
              <w:right w:val="single" w:color="auto" w:sz="8" w:space="0"/>
            </w:tcBorders>
            <w:shd w:val="clear" w:color="auto" w:fill="auto"/>
            <w:tcMar>
              <w:top w:w="15" w:type="dxa"/>
              <w:left w:w="15" w:type="dxa"/>
              <w:bottom w:w="15" w:type="dxa"/>
              <w:right w:w="15" w:type="dxa"/>
            </w:tcMar>
            <w:vAlign w:val="center"/>
          </w:tcPr>
          <w:p>
            <w:pPr>
              <w:widowControl/>
              <w:jc w:val="center"/>
              <w:rPr>
                <w:rFonts w:hint="eastAsia" w:asciiTheme="minorEastAsia" w:hAnsiTheme="minorEastAsia" w:eastAsiaTheme="minorEastAsia" w:cstheme="minorEastAsia"/>
                <w:kern w:val="0"/>
                <w:sz w:val="21"/>
                <w:szCs w:val="21"/>
              </w:rPr>
            </w:pPr>
          </w:p>
        </w:tc>
        <w:tc>
          <w:tcPr>
            <w:tcW w:w="200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widowControl/>
              <w:jc w:val="both"/>
              <w:rPr>
                <w:rFonts w:hint="eastAsia" w:asciiTheme="minorEastAsia" w:hAnsiTheme="minorEastAsia" w:eastAsiaTheme="minorEastAsia" w:cstheme="minorEastAsia"/>
                <w:sz w:val="21"/>
                <w:szCs w:val="21"/>
              </w:rPr>
            </w:pPr>
          </w:p>
        </w:tc>
        <w:tc>
          <w:tcPr>
            <w:tcW w:w="6301"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widowControl/>
              <w:jc w:val="both"/>
              <w:rPr>
                <w:rFonts w:hint="eastAsia" w:asciiTheme="minorEastAsia" w:hAnsiTheme="minorEastAsia" w:eastAsiaTheme="minorEastAsia" w:cstheme="minorEastAsia"/>
                <w:sz w:val="21"/>
                <w:szCs w:val="21"/>
              </w:rPr>
            </w:pPr>
          </w:p>
        </w:tc>
        <w:tc>
          <w:tcPr>
            <w:tcW w:w="952" w:type="dxa"/>
            <w:tcBorders>
              <w:top w:val="nil"/>
              <w:left w:val="nil"/>
              <w:bottom w:val="single" w:color="000000" w:sz="8" w:space="0"/>
              <w:right w:val="single" w:color="000000" w:sz="12" w:space="0"/>
            </w:tcBorders>
            <w:shd w:val="clear" w:color="auto" w:fill="auto"/>
            <w:tcMar>
              <w:top w:w="15" w:type="dxa"/>
              <w:left w:w="15" w:type="dxa"/>
              <w:bottom w:w="15" w:type="dxa"/>
              <w:right w:w="15" w:type="dxa"/>
            </w:tcMar>
            <w:vAlign w:val="center"/>
          </w:tcPr>
          <w:p>
            <w:pPr>
              <w:widowControl/>
              <w:jc w:val="center"/>
              <w:rPr>
                <w:rFonts w:hint="eastAsia" w:asciiTheme="minorEastAsia" w:hAnsiTheme="minorEastAsia" w:eastAsiaTheme="minorEastAsia" w:cstheme="minorEastAsia"/>
                <w:kern w:val="0"/>
                <w:sz w:val="21"/>
                <w:szCs w:val="21"/>
              </w:rPr>
            </w:pPr>
          </w:p>
        </w:tc>
      </w:tr>
      <w:tr>
        <w:tblPrEx>
          <w:tblCellMar>
            <w:top w:w="0" w:type="dxa"/>
            <w:left w:w="0" w:type="dxa"/>
            <w:bottom w:w="0" w:type="dxa"/>
            <w:right w:w="0" w:type="dxa"/>
          </w:tblCellMar>
        </w:tblPrEx>
        <w:trPr>
          <w:trHeight w:val="567" w:hRule="atLeast"/>
          <w:jc w:val="center"/>
        </w:trPr>
        <w:tc>
          <w:tcPr>
            <w:tcW w:w="1168" w:type="dxa"/>
            <w:tcBorders>
              <w:top w:val="nil"/>
              <w:left w:val="single" w:color="000000" w:sz="12" w:space="0"/>
              <w:bottom w:val="single" w:color="000000" w:sz="8" w:space="0"/>
              <w:right w:val="single" w:color="000000" w:sz="8" w:space="0"/>
            </w:tcBorders>
            <w:shd w:val="clear" w:color="auto" w:fill="auto"/>
            <w:tcMar>
              <w:top w:w="15" w:type="dxa"/>
              <w:left w:w="15" w:type="dxa"/>
              <w:bottom w:w="15" w:type="dxa"/>
              <w:right w:w="15" w:type="dxa"/>
            </w:tcMar>
            <w:vAlign w:val="center"/>
          </w:tcPr>
          <w:p>
            <w:pPr>
              <w:rPr>
                <w:rFonts w:hint="default"/>
                <w:lang w:val="en-US" w:eastAsia="zh-CN"/>
              </w:rPr>
            </w:pPr>
          </w:p>
        </w:tc>
        <w:tc>
          <w:tcPr>
            <w:tcW w:w="2881" w:type="dxa"/>
            <w:gridSpan w:val="3"/>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widowControl/>
              <w:jc w:val="both"/>
              <w:rPr>
                <w:rFonts w:hint="eastAsia" w:asciiTheme="minorEastAsia" w:hAnsiTheme="minorEastAsia" w:eastAsiaTheme="minorEastAsia" w:cstheme="minorEastAsia"/>
                <w:sz w:val="21"/>
                <w:szCs w:val="21"/>
              </w:rPr>
            </w:pPr>
          </w:p>
        </w:tc>
        <w:tc>
          <w:tcPr>
            <w:tcW w:w="1104" w:type="dxa"/>
            <w:gridSpan w:val="2"/>
            <w:tcBorders>
              <w:top w:val="nil"/>
              <w:left w:val="nil"/>
              <w:bottom w:val="single" w:color="000000" w:sz="8" w:space="0"/>
              <w:right w:val="single" w:color="auto" w:sz="8" w:space="0"/>
            </w:tcBorders>
            <w:shd w:val="clear" w:color="auto" w:fill="auto"/>
            <w:tcMar>
              <w:top w:w="15" w:type="dxa"/>
              <w:left w:w="15" w:type="dxa"/>
              <w:bottom w:w="15" w:type="dxa"/>
              <w:right w:w="15" w:type="dxa"/>
            </w:tcMar>
            <w:vAlign w:val="center"/>
          </w:tcPr>
          <w:p>
            <w:pPr>
              <w:widowControl/>
              <w:jc w:val="center"/>
              <w:rPr>
                <w:rFonts w:hint="eastAsia" w:asciiTheme="minorEastAsia" w:hAnsiTheme="minorEastAsia" w:eastAsiaTheme="minorEastAsia" w:cstheme="minorEastAsia"/>
                <w:kern w:val="0"/>
                <w:sz w:val="21"/>
                <w:szCs w:val="21"/>
              </w:rPr>
            </w:pPr>
          </w:p>
        </w:tc>
        <w:tc>
          <w:tcPr>
            <w:tcW w:w="200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widowControl/>
              <w:jc w:val="both"/>
              <w:rPr>
                <w:rFonts w:hint="eastAsia" w:asciiTheme="minorEastAsia" w:hAnsiTheme="minorEastAsia" w:eastAsiaTheme="minorEastAsia" w:cstheme="minorEastAsia"/>
                <w:sz w:val="21"/>
                <w:szCs w:val="21"/>
              </w:rPr>
            </w:pPr>
          </w:p>
        </w:tc>
        <w:tc>
          <w:tcPr>
            <w:tcW w:w="6301"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widowControl/>
              <w:jc w:val="both"/>
              <w:rPr>
                <w:rFonts w:hint="eastAsia" w:asciiTheme="minorEastAsia" w:hAnsiTheme="minorEastAsia" w:eastAsiaTheme="minorEastAsia" w:cstheme="minorEastAsia"/>
                <w:sz w:val="21"/>
                <w:szCs w:val="21"/>
              </w:rPr>
            </w:pPr>
          </w:p>
        </w:tc>
        <w:tc>
          <w:tcPr>
            <w:tcW w:w="952" w:type="dxa"/>
            <w:tcBorders>
              <w:top w:val="nil"/>
              <w:left w:val="nil"/>
              <w:bottom w:val="single" w:color="000000" w:sz="8" w:space="0"/>
              <w:right w:val="single" w:color="000000" w:sz="12" w:space="0"/>
            </w:tcBorders>
            <w:shd w:val="clear" w:color="auto" w:fill="auto"/>
            <w:tcMar>
              <w:top w:w="15" w:type="dxa"/>
              <w:left w:w="15" w:type="dxa"/>
              <w:bottom w:w="15" w:type="dxa"/>
              <w:right w:w="15" w:type="dxa"/>
            </w:tcMar>
            <w:vAlign w:val="center"/>
          </w:tcPr>
          <w:p>
            <w:pPr>
              <w:widowControl/>
              <w:jc w:val="center"/>
              <w:rPr>
                <w:rFonts w:hint="eastAsia" w:asciiTheme="minorEastAsia" w:hAnsiTheme="minorEastAsia" w:eastAsiaTheme="minorEastAsia" w:cstheme="minorEastAsia"/>
                <w:kern w:val="0"/>
                <w:sz w:val="21"/>
                <w:szCs w:val="21"/>
              </w:rPr>
            </w:pPr>
          </w:p>
        </w:tc>
      </w:tr>
      <w:tr>
        <w:tblPrEx>
          <w:tblCellMar>
            <w:top w:w="0" w:type="dxa"/>
            <w:left w:w="0" w:type="dxa"/>
            <w:bottom w:w="0" w:type="dxa"/>
            <w:right w:w="0" w:type="dxa"/>
          </w:tblCellMar>
        </w:tblPrEx>
        <w:trPr>
          <w:trHeight w:val="567" w:hRule="atLeast"/>
          <w:jc w:val="center"/>
        </w:trPr>
        <w:tc>
          <w:tcPr>
            <w:tcW w:w="1168" w:type="dxa"/>
            <w:tcBorders>
              <w:top w:val="nil"/>
              <w:left w:val="single" w:color="000000" w:sz="12" w:space="0"/>
              <w:bottom w:val="single" w:color="000000" w:sz="8" w:space="0"/>
              <w:right w:val="single" w:color="000000" w:sz="8" w:space="0"/>
            </w:tcBorders>
            <w:shd w:val="clear" w:color="auto" w:fill="auto"/>
            <w:tcMar>
              <w:top w:w="15" w:type="dxa"/>
              <w:left w:w="15" w:type="dxa"/>
              <w:bottom w:w="15" w:type="dxa"/>
              <w:right w:w="15" w:type="dxa"/>
            </w:tcMar>
            <w:vAlign w:val="center"/>
          </w:tcPr>
          <w:p>
            <w:pPr>
              <w:rPr>
                <w:rFonts w:hint="default"/>
                <w:lang w:val="en-US" w:eastAsia="zh-CN"/>
              </w:rPr>
            </w:pPr>
          </w:p>
        </w:tc>
        <w:tc>
          <w:tcPr>
            <w:tcW w:w="2881" w:type="dxa"/>
            <w:gridSpan w:val="3"/>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widowControl/>
              <w:jc w:val="both"/>
              <w:rPr>
                <w:rFonts w:hint="eastAsia" w:asciiTheme="minorEastAsia" w:hAnsiTheme="minorEastAsia" w:eastAsiaTheme="minorEastAsia" w:cstheme="minorEastAsia"/>
                <w:sz w:val="21"/>
                <w:szCs w:val="21"/>
              </w:rPr>
            </w:pPr>
          </w:p>
        </w:tc>
        <w:tc>
          <w:tcPr>
            <w:tcW w:w="1104" w:type="dxa"/>
            <w:gridSpan w:val="2"/>
            <w:tcBorders>
              <w:top w:val="nil"/>
              <w:left w:val="nil"/>
              <w:bottom w:val="single" w:color="000000" w:sz="8" w:space="0"/>
              <w:right w:val="single" w:color="auto" w:sz="8" w:space="0"/>
            </w:tcBorders>
            <w:shd w:val="clear" w:color="auto" w:fill="auto"/>
            <w:tcMar>
              <w:top w:w="15" w:type="dxa"/>
              <w:left w:w="15" w:type="dxa"/>
              <w:bottom w:w="15" w:type="dxa"/>
              <w:right w:w="15" w:type="dxa"/>
            </w:tcMar>
            <w:vAlign w:val="center"/>
          </w:tcPr>
          <w:p>
            <w:pPr>
              <w:widowControl/>
              <w:jc w:val="center"/>
              <w:rPr>
                <w:rFonts w:hint="eastAsia" w:asciiTheme="minorEastAsia" w:hAnsiTheme="minorEastAsia" w:eastAsiaTheme="minorEastAsia" w:cstheme="minorEastAsia"/>
                <w:kern w:val="0"/>
                <w:sz w:val="21"/>
                <w:szCs w:val="21"/>
              </w:rPr>
            </w:pPr>
          </w:p>
        </w:tc>
        <w:tc>
          <w:tcPr>
            <w:tcW w:w="200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widowControl/>
              <w:jc w:val="both"/>
              <w:rPr>
                <w:rFonts w:hint="eastAsia" w:asciiTheme="minorEastAsia" w:hAnsiTheme="minorEastAsia" w:eastAsiaTheme="minorEastAsia" w:cstheme="minorEastAsia"/>
                <w:sz w:val="21"/>
                <w:szCs w:val="21"/>
              </w:rPr>
            </w:pPr>
          </w:p>
        </w:tc>
        <w:tc>
          <w:tcPr>
            <w:tcW w:w="6301"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widowControl/>
              <w:jc w:val="both"/>
              <w:rPr>
                <w:rFonts w:hint="eastAsia" w:asciiTheme="minorEastAsia" w:hAnsiTheme="minorEastAsia" w:eastAsiaTheme="minorEastAsia" w:cstheme="minorEastAsia"/>
                <w:sz w:val="21"/>
                <w:szCs w:val="21"/>
              </w:rPr>
            </w:pPr>
          </w:p>
        </w:tc>
        <w:tc>
          <w:tcPr>
            <w:tcW w:w="952" w:type="dxa"/>
            <w:tcBorders>
              <w:top w:val="nil"/>
              <w:left w:val="nil"/>
              <w:bottom w:val="single" w:color="000000" w:sz="8" w:space="0"/>
              <w:right w:val="single" w:color="000000" w:sz="12" w:space="0"/>
            </w:tcBorders>
            <w:shd w:val="clear" w:color="auto" w:fill="auto"/>
            <w:tcMar>
              <w:top w:w="15" w:type="dxa"/>
              <w:left w:w="15" w:type="dxa"/>
              <w:bottom w:w="15" w:type="dxa"/>
              <w:right w:w="15" w:type="dxa"/>
            </w:tcMar>
            <w:vAlign w:val="center"/>
          </w:tcPr>
          <w:p>
            <w:pPr>
              <w:widowControl/>
              <w:jc w:val="center"/>
              <w:rPr>
                <w:rFonts w:hint="eastAsia" w:asciiTheme="minorEastAsia" w:hAnsiTheme="minorEastAsia" w:eastAsiaTheme="minorEastAsia" w:cstheme="minorEastAsia"/>
                <w:kern w:val="0"/>
                <w:sz w:val="21"/>
                <w:szCs w:val="21"/>
              </w:rPr>
            </w:pPr>
          </w:p>
        </w:tc>
      </w:tr>
      <w:tr>
        <w:tblPrEx>
          <w:tblCellMar>
            <w:top w:w="0" w:type="dxa"/>
            <w:left w:w="0" w:type="dxa"/>
            <w:bottom w:w="0" w:type="dxa"/>
            <w:right w:w="0" w:type="dxa"/>
          </w:tblCellMar>
        </w:tblPrEx>
        <w:trPr>
          <w:trHeight w:val="510" w:hRule="atLeast"/>
          <w:jc w:val="center"/>
        </w:trPr>
        <w:tc>
          <w:tcPr>
            <w:tcW w:w="14410" w:type="dxa"/>
            <w:gridSpan w:val="9"/>
            <w:shd w:val="clear" w:color="auto" w:fill="auto"/>
            <w:tcMar>
              <w:top w:w="15" w:type="dxa"/>
              <w:left w:w="15" w:type="dxa"/>
              <w:bottom w:w="15" w:type="dxa"/>
              <w:right w:w="15" w:type="dxa"/>
            </w:tcMar>
            <w:vAlign w:val="center"/>
          </w:tcPr>
          <w:p>
            <w:pPr>
              <w:widowControl/>
              <w:spacing w:line="560" w:lineRule="atLeast"/>
              <w:jc w:val="left"/>
              <w:textAlignment w:val="center"/>
              <w:rPr>
                <w:rFonts w:ascii="仿宋" w:hAnsi="仿宋" w:eastAsia="仿宋" w:cs="宋体"/>
                <w:kern w:val="0"/>
                <w:sz w:val="24"/>
                <w:szCs w:val="24"/>
              </w:rPr>
            </w:pPr>
            <w:r>
              <w:rPr>
                <w:rFonts w:hint="eastAsia" w:ascii="仿宋" w:hAnsi="仿宋" w:eastAsia="仿宋" w:cs="宋体"/>
                <w:kern w:val="0"/>
                <w:sz w:val="28"/>
                <w:szCs w:val="28"/>
              </w:rPr>
              <w:t>附件3</w:t>
            </w:r>
          </w:p>
        </w:tc>
      </w:tr>
      <w:tr>
        <w:tblPrEx>
          <w:tblCellMar>
            <w:top w:w="0" w:type="dxa"/>
            <w:left w:w="0" w:type="dxa"/>
            <w:bottom w:w="0" w:type="dxa"/>
            <w:right w:w="0" w:type="dxa"/>
          </w:tblCellMar>
        </w:tblPrEx>
        <w:trPr>
          <w:trHeight w:val="510" w:hRule="atLeast"/>
          <w:jc w:val="center"/>
        </w:trPr>
        <w:tc>
          <w:tcPr>
            <w:tcW w:w="14410" w:type="dxa"/>
            <w:gridSpan w:val="9"/>
            <w:shd w:val="clear" w:color="auto" w:fill="auto"/>
            <w:tcMar>
              <w:top w:w="15" w:type="dxa"/>
              <w:left w:w="15" w:type="dxa"/>
              <w:bottom w:w="15" w:type="dxa"/>
              <w:right w:w="15" w:type="dxa"/>
            </w:tcMar>
            <w:vAlign w:val="center"/>
          </w:tcPr>
          <w:p>
            <w:pPr>
              <w:widowControl/>
              <w:spacing w:line="560" w:lineRule="atLeast"/>
              <w:jc w:val="center"/>
              <w:textAlignment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减轻处罚事项清单</w:t>
            </w:r>
          </w:p>
        </w:tc>
      </w:tr>
      <w:tr>
        <w:tblPrEx>
          <w:tblCellMar>
            <w:top w:w="0" w:type="dxa"/>
            <w:left w:w="0" w:type="dxa"/>
            <w:bottom w:w="0" w:type="dxa"/>
            <w:right w:w="0" w:type="dxa"/>
          </w:tblCellMar>
        </w:tblPrEx>
        <w:trPr>
          <w:trHeight w:val="510" w:hRule="atLeast"/>
          <w:jc w:val="center"/>
        </w:trPr>
        <w:tc>
          <w:tcPr>
            <w:tcW w:w="4150" w:type="dxa"/>
            <w:gridSpan w:val="5"/>
            <w:shd w:val="clear" w:color="auto" w:fill="auto"/>
            <w:tcMar>
              <w:top w:w="15" w:type="dxa"/>
              <w:left w:w="15" w:type="dxa"/>
              <w:bottom w:w="15" w:type="dxa"/>
              <w:right w:w="15" w:type="dxa"/>
            </w:tcMar>
            <w:vAlign w:val="center"/>
          </w:tcPr>
          <w:p>
            <w:pPr>
              <w:widowControl/>
              <w:spacing w:line="560" w:lineRule="atLeast"/>
              <w:jc w:val="left"/>
              <w:textAlignment w:val="center"/>
              <w:rPr>
                <w:rFonts w:ascii="仿宋" w:hAnsi="仿宋" w:eastAsia="仿宋" w:cs="宋体"/>
                <w:kern w:val="0"/>
                <w:sz w:val="24"/>
                <w:szCs w:val="24"/>
              </w:rPr>
            </w:pPr>
            <w:r>
              <w:rPr>
                <w:rFonts w:hint="eastAsia" w:ascii="仿宋" w:hAnsi="仿宋" w:eastAsia="仿宋" w:cs="宋体"/>
                <w:kern w:val="0"/>
                <w:sz w:val="24"/>
                <w:szCs w:val="24"/>
              </w:rPr>
              <w:t>单位：（公章）</w:t>
            </w:r>
          </w:p>
        </w:tc>
        <w:tc>
          <w:tcPr>
            <w:tcW w:w="3007" w:type="dxa"/>
            <w:gridSpan w:val="2"/>
            <w:shd w:val="clear" w:color="auto" w:fill="auto"/>
            <w:tcMar>
              <w:top w:w="15" w:type="dxa"/>
              <w:left w:w="15" w:type="dxa"/>
              <w:bottom w:w="15" w:type="dxa"/>
              <w:right w:w="15" w:type="dxa"/>
            </w:tcMar>
            <w:vAlign w:val="center"/>
          </w:tcPr>
          <w:p>
            <w:pPr>
              <w:widowControl/>
              <w:spacing w:line="560" w:lineRule="atLeast"/>
              <w:jc w:val="left"/>
              <w:rPr>
                <w:rFonts w:ascii="仿宋" w:hAnsi="仿宋" w:eastAsia="仿宋" w:cs="宋体"/>
                <w:kern w:val="0"/>
                <w:sz w:val="24"/>
                <w:szCs w:val="24"/>
              </w:rPr>
            </w:pPr>
          </w:p>
        </w:tc>
        <w:tc>
          <w:tcPr>
            <w:tcW w:w="6301" w:type="dxa"/>
            <w:shd w:val="clear" w:color="auto" w:fill="auto"/>
            <w:tcMar>
              <w:top w:w="15" w:type="dxa"/>
              <w:left w:w="15" w:type="dxa"/>
              <w:bottom w:w="15" w:type="dxa"/>
              <w:right w:w="15" w:type="dxa"/>
            </w:tcMar>
            <w:vAlign w:val="center"/>
          </w:tcPr>
          <w:p>
            <w:pPr>
              <w:widowControl/>
              <w:spacing w:line="560" w:lineRule="atLeast"/>
              <w:jc w:val="center"/>
              <w:rPr>
                <w:rFonts w:ascii="仿宋" w:hAnsi="仿宋" w:eastAsia="仿宋" w:cs="宋体"/>
                <w:kern w:val="0"/>
                <w:sz w:val="24"/>
                <w:szCs w:val="24"/>
              </w:rPr>
            </w:pPr>
          </w:p>
        </w:tc>
        <w:tc>
          <w:tcPr>
            <w:tcW w:w="952" w:type="dxa"/>
            <w:shd w:val="clear" w:color="auto" w:fill="auto"/>
            <w:tcMar>
              <w:top w:w="15" w:type="dxa"/>
              <w:left w:w="15" w:type="dxa"/>
              <w:bottom w:w="15" w:type="dxa"/>
              <w:right w:w="15" w:type="dxa"/>
            </w:tcMar>
            <w:vAlign w:val="center"/>
          </w:tcPr>
          <w:p>
            <w:pPr>
              <w:widowControl/>
              <w:spacing w:line="560" w:lineRule="atLeast"/>
              <w:jc w:val="center"/>
              <w:rPr>
                <w:rFonts w:ascii="仿宋" w:hAnsi="仿宋" w:eastAsia="仿宋" w:cs="宋体"/>
                <w:kern w:val="0"/>
                <w:sz w:val="24"/>
                <w:szCs w:val="24"/>
              </w:rPr>
            </w:pPr>
          </w:p>
        </w:tc>
      </w:tr>
      <w:tr>
        <w:tblPrEx>
          <w:tblCellMar>
            <w:top w:w="0" w:type="dxa"/>
            <w:left w:w="0" w:type="dxa"/>
            <w:bottom w:w="0" w:type="dxa"/>
            <w:right w:w="0" w:type="dxa"/>
          </w:tblCellMar>
        </w:tblPrEx>
        <w:trPr>
          <w:trHeight w:val="510" w:hRule="atLeast"/>
          <w:jc w:val="center"/>
        </w:trPr>
        <w:tc>
          <w:tcPr>
            <w:tcW w:w="1168" w:type="dxa"/>
            <w:tcBorders>
              <w:top w:val="single" w:color="000000" w:sz="12" w:space="0"/>
              <w:left w:val="single" w:color="000000" w:sz="12" w:space="0"/>
              <w:bottom w:val="single" w:color="000000" w:sz="8" w:space="0"/>
              <w:right w:val="single" w:color="000000" w:sz="8" w:space="0"/>
            </w:tcBorders>
            <w:shd w:val="clear" w:color="auto" w:fill="auto"/>
            <w:tcMar>
              <w:top w:w="15" w:type="dxa"/>
              <w:left w:w="15" w:type="dxa"/>
              <w:bottom w:w="15" w:type="dxa"/>
              <w:right w:w="15" w:type="dxa"/>
            </w:tcMar>
            <w:vAlign w:val="center"/>
          </w:tcPr>
          <w:p>
            <w:pPr>
              <w:widowControl/>
              <w:spacing w:line="560" w:lineRule="atLeast"/>
              <w:jc w:val="center"/>
              <w:textAlignment w:val="center"/>
              <w:rPr>
                <w:rFonts w:ascii="黑体" w:hAnsi="黑体" w:eastAsia="黑体" w:cs="宋体"/>
                <w:kern w:val="0"/>
                <w:sz w:val="24"/>
                <w:szCs w:val="24"/>
              </w:rPr>
            </w:pPr>
            <w:r>
              <w:rPr>
                <w:rFonts w:hint="eastAsia" w:ascii="黑体" w:hAnsi="黑体" w:eastAsia="黑体" w:cs="宋体"/>
                <w:kern w:val="0"/>
                <w:sz w:val="24"/>
                <w:szCs w:val="24"/>
              </w:rPr>
              <w:t>序号</w:t>
            </w:r>
          </w:p>
        </w:tc>
        <w:tc>
          <w:tcPr>
            <w:tcW w:w="2708" w:type="dxa"/>
            <w:tcBorders>
              <w:top w:val="single" w:color="000000" w:sz="12" w:space="0"/>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widowControl/>
              <w:spacing w:line="560" w:lineRule="atLeast"/>
              <w:jc w:val="center"/>
              <w:textAlignment w:val="center"/>
              <w:rPr>
                <w:rFonts w:ascii="黑体" w:hAnsi="黑体" w:eastAsia="黑体" w:cs="宋体"/>
                <w:kern w:val="0"/>
                <w:sz w:val="24"/>
                <w:szCs w:val="24"/>
              </w:rPr>
            </w:pPr>
            <w:r>
              <w:rPr>
                <w:rFonts w:hint="eastAsia" w:ascii="黑体" w:hAnsi="黑体" w:eastAsia="黑体" w:cs="宋体"/>
                <w:kern w:val="0"/>
                <w:sz w:val="24"/>
                <w:szCs w:val="24"/>
              </w:rPr>
              <w:t>行政处罚事项</w:t>
            </w:r>
          </w:p>
        </w:tc>
        <w:tc>
          <w:tcPr>
            <w:tcW w:w="1277" w:type="dxa"/>
            <w:gridSpan w:val="4"/>
            <w:tcBorders>
              <w:top w:val="single" w:color="000000" w:sz="12" w:space="0"/>
              <w:left w:val="nil"/>
              <w:bottom w:val="single" w:color="000000" w:sz="8" w:space="0"/>
              <w:right w:val="single" w:color="auto" w:sz="8" w:space="0"/>
            </w:tcBorders>
            <w:shd w:val="clear" w:color="auto" w:fill="auto"/>
            <w:tcMar>
              <w:top w:w="15" w:type="dxa"/>
              <w:left w:w="15" w:type="dxa"/>
              <w:bottom w:w="15" w:type="dxa"/>
              <w:right w:w="15" w:type="dxa"/>
            </w:tcMar>
            <w:vAlign w:val="center"/>
          </w:tcPr>
          <w:p>
            <w:pPr>
              <w:widowControl/>
              <w:spacing w:line="560" w:lineRule="atLeast"/>
              <w:jc w:val="center"/>
              <w:textAlignment w:val="center"/>
              <w:rPr>
                <w:rFonts w:ascii="黑体" w:hAnsi="黑体" w:eastAsia="黑体" w:cs="宋体"/>
                <w:kern w:val="0"/>
                <w:sz w:val="24"/>
                <w:szCs w:val="24"/>
              </w:rPr>
            </w:pPr>
            <w:r>
              <w:rPr>
                <w:rFonts w:hint="eastAsia" w:ascii="黑体" w:hAnsi="黑体" w:eastAsia="黑体" w:cs="宋体"/>
                <w:kern w:val="0"/>
                <w:sz w:val="24"/>
                <w:szCs w:val="24"/>
              </w:rPr>
              <w:t>实施机关</w:t>
            </w:r>
          </w:p>
        </w:tc>
        <w:tc>
          <w:tcPr>
            <w:tcW w:w="2004" w:type="dxa"/>
            <w:tcBorders>
              <w:top w:val="single" w:color="000000" w:sz="12" w:space="0"/>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widowControl/>
              <w:spacing w:line="560" w:lineRule="atLeast"/>
              <w:jc w:val="center"/>
              <w:textAlignment w:val="center"/>
              <w:rPr>
                <w:rFonts w:ascii="黑体" w:hAnsi="黑体" w:eastAsia="黑体" w:cs="宋体"/>
                <w:kern w:val="0"/>
                <w:sz w:val="24"/>
                <w:szCs w:val="24"/>
              </w:rPr>
            </w:pPr>
            <w:r>
              <w:rPr>
                <w:rFonts w:hint="eastAsia" w:ascii="黑体" w:hAnsi="黑体" w:eastAsia="黑体" w:cs="宋体"/>
                <w:kern w:val="0"/>
                <w:sz w:val="24"/>
                <w:szCs w:val="24"/>
              </w:rPr>
              <w:t>减轻处罚适用条件</w:t>
            </w:r>
          </w:p>
        </w:tc>
        <w:tc>
          <w:tcPr>
            <w:tcW w:w="6301" w:type="dxa"/>
            <w:tcBorders>
              <w:top w:val="single" w:color="000000" w:sz="12" w:space="0"/>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widowControl/>
              <w:spacing w:line="560" w:lineRule="atLeast"/>
              <w:jc w:val="center"/>
              <w:textAlignment w:val="center"/>
              <w:rPr>
                <w:rFonts w:ascii="黑体" w:hAnsi="黑体" w:eastAsia="黑体" w:cs="宋体"/>
                <w:kern w:val="0"/>
                <w:sz w:val="24"/>
                <w:szCs w:val="24"/>
              </w:rPr>
            </w:pPr>
            <w:r>
              <w:rPr>
                <w:rFonts w:hint="eastAsia" w:ascii="黑体" w:hAnsi="黑体" w:eastAsia="黑体" w:cs="宋体"/>
                <w:kern w:val="0"/>
                <w:sz w:val="24"/>
                <w:szCs w:val="24"/>
              </w:rPr>
              <w:t>法律依据</w:t>
            </w:r>
          </w:p>
        </w:tc>
        <w:tc>
          <w:tcPr>
            <w:tcW w:w="952" w:type="dxa"/>
            <w:tcBorders>
              <w:top w:val="single" w:color="000000" w:sz="12" w:space="0"/>
              <w:left w:val="nil"/>
              <w:bottom w:val="single" w:color="000000" w:sz="8" w:space="0"/>
              <w:right w:val="single" w:color="000000" w:sz="12" w:space="0"/>
            </w:tcBorders>
            <w:shd w:val="clear" w:color="auto" w:fill="auto"/>
            <w:tcMar>
              <w:top w:w="15" w:type="dxa"/>
              <w:left w:w="15" w:type="dxa"/>
              <w:bottom w:w="15" w:type="dxa"/>
              <w:right w:w="15" w:type="dxa"/>
            </w:tcMar>
            <w:vAlign w:val="center"/>
          </w:tcPr>
          <w:p>
            <w:pPr>
              <w:widowControl/>
              <w:spacing w:line="560" w:lineRule="atLeast"/>
              <w:jc w:val="center"/>
              <w:textAlignment w:val="center"/>
              <w:rPr>
                <w:rFonts w:ascii="黑体" w:hAnsi="黑体" w:eastAsia="黑体" w:cs="宋体"/>
                <w:kern w:val="0"/>
                <w:sz w:val="24"/>
                <w:szCs w:val="24"/>
              </w:rPr>
            </w:pPr>
            <w:r>
              <w:rPr>
                <w:rFonts w:hint="eastAsia" w:ascii="黑体" w:hAnsi="黑体" w:eastAsia="黑体" w:cs="宋体"/>
                <w:kern w:val="0"/>
                <w:sz w:val="24"/>
                <w:szCs w:val="24"/>
              </w:rPr>
              <w:t>备注</w:t>
            </w:r>
          </w:p>
        </w:tc>
      </w:tr>
      <w:tr>
        <w:tblPrEx>
          <w:tblCellMar>
            <w:top w:w="0" w:type="dxa"/>
            <w:left w:w="0" w:type="dxa"/>
            <w:bottom w:w="0" w:type="dxa"/>
            <w:right w:w="0" w:type="dxa"/>
          </w:tblCellMar>
        </w:tblPrEx>
        <w:trPr>
          <w:trHeight w:val="510" w:hRule="atLeast"/>
          <w:jc w:val="center"/>
        </w:trPr>
        <w:tc>
          <w:tcPr>
            <w:tcW w:w="1168" w:type="dxa"/>
            <w:tcBorders>
              <w:top w:val="nil"/>
              <w:left w:val="single" w:color="000000" w:sz="12" w:space="0"/>
              <w:bottom w:val="single" w:color="000000" w:sz="8" w:space="0"/>
              <w:right w:val="single" w:color="000000" w:sz="8" w:space="0"/>
            </w:tcBorders>
            <w:shd w:val="clear" w:color="auto" w:fill="auto"/>
            <w:tcMar>
              <w:top w:w="15" w:type="dxa"/>
              <w:left w:w="15" w:type="dxa"/>
              <w:bottom w:w="15" w:type="dxa"/>
              <w:right w:w="15" w:type="dxa"/>
            </w:tcMar>
            <w:vAlign w:val="center"/>
          </w:tcPr>
          <w:p>
            <w:pPr>
              <w:widowControl/>
              <w:spacing w:line="560" w:lineRule="atLeast"/>
              <w:jc w:val="center"/>
              <w:rPr>
                <w:rFonts w:ascii="仿宋" w:hAnsi="仿宋" w:eastAsia="仿宋" w:cs="宋体"/>
                <w:kern w:val="0"/>
                <w:sz w:val="24"/>
                <w:szCs w:val="24"/>
              </w:rPr>
            </w:pPr>
          </w:p>
        </w:tc>
        <w:tc>
          <w:tcPr>
            <w:tcW w:w="2708"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widowControl/>
              <w:spacing w:line="560" w:lineRule="atLeast"/>
              <w:jc w:val="center"/>
              <w:rPr>
                <w:rFonts w:hint="eastAsia" w:ascii="仿宋" w:hAnsi="仿宋" w:eastAsia="仿宋" w:cs="宋体"/>
                <w:kern w:val="0"/>
                <w:sz w:val="24"/>
                <w:szCs w:val="24"/>
                <w:lang w:eastAsia="zh-CN"/>
              </w:rPr>
            </w:pPr>
            <w:r>
              <w:rPr>
                <w:rFonts w:hint="eastAsia" w:ascii="仿宋" w:hAnsi="仿宋" w:eastAsia="仿宋" w:cs="宋体"/>
                <w:kern w:val="0"/>
                <w:sz w:val="24"/>
                <w:szCs w:val="24"/>
                <w:lang w:eastAsia="zh-CN"/>
              </w:rPr>
              <w:t>无</w:t>
            </w:r>
          </w:p>
        </w:tc>
        <w:tc>
          <w:tcPr>
            <w:tcW w:w="1277" w:type="dxa"/>
            <w:gridSpan w:val="4"/>
            <w:tcBorders>
              <w:top w:val="nil"/>
              <w:left w:val="nil"/>
              <w:bottom w:val="single" w:color="000000" w:sz="8" w:space="0"/>
              <w:right w:val="single" w:color="auto" w:sz="8" w:space="0"/>
            </w:tcBorders>
            <w:shd w:val="clear" w:color="auto" w:fill="auto"/>
            <w:tcMar>
              <w:top w:w="15" w:type="dxa"/>
              <w:left w:w="15" w:type="dxa"/>
              <w:bottom w:w="15" w:type="dxa"/>
              <w:right w:w="15" w:type="dxa"/>
            </w:tcMar>
            <w:vAlign w:val="center"/>
          </w:tcPr>
          <w:p>
            <w:pPr>
              <w:widowControl/>
              <w:spacing w:line="560" w:lineRule="atLeast"/>
              <w:jc w:val="center"/>
              <w:rPr>
                <w:rFonts w:ascii="仿宋" w:hAnsi="仿宋" w:eastAsia="仿宋" w:cs="宋体"/>
                <w:kern w:val="0"/>
                <w:sz w:val="24"/>
                <w:szCs w:val="24"/>
              </w:rPr>
            </w:pPr>
          </w:p>
        </w:tc>
        <w:tc>
          <w:tcPr>
            <w:tcW w:w="200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widowControl/>
              <w:spacing w:line="560" w:lineRule="atLeast"/>
              <w:jc w:val="center"/>
              <w:rPr>
                <w:rFonts w:ascii="仿宋" w:hAnsi="仿宋" w:eastAsia="仿宋" w:cs="宋体"/>
                <w:kern w:val="0"/>
                <w:sz w:val="24"/>
                <w:szCs w:val="24"/>
              </w:rPr>
            </w:pPr>
          </w:p>
        </w:tc>
        <w:tc>
          <w:tcPr>
            <w:tcW w:w="6301"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widowControl/>
              <w:spacing w:line="560" w:lineRule="atLeast"/>
              <w:jc w:val="center"/>
              <w:rPr>
                <w:rFonts w:ascii="仿宋" w:hAnsi="仿宋" w:eastAsia="仿宋" w:cs="宋体"/>
                <w:kern w:val="0"/>
                <w:sz w:val="24"/>
                <w:szCs w:val="24"/>
              </w:rPr>
            </w:pPr>
          </w:p>
        </w:tc>
        <w:tc>
          <w:tcPr>
            <w:tcW w:w="952" w:type="dxa"/>
            <w:tcBorders>
              <w:top w:val="nil"/>
              <w:left w:val="nil"/>
              <w:bottom w:val="single" w:color="000000" w:sz="8" w:space="0"/>
              <w:right w:val="single" w:color="000000" w:sz="12" w:space="0"/>
            </w:tcBorders>
            <w:shd w:val="clear" w:color="auto" w:fill="auto"/>
            <w:tcMar>
              <w:top w:w="15" w:type="dxa"/>
              <w:left w:w="15" w:type="dxa"/>
              <w:bottom w:w="15" w:type="dxa"/>
              <w:right w:w="15" w:type="dxa"/>
            </w:tcMar>
            <w:vAlign w:val="center"/>
          </w:tcPr>
          <w:p>
            <w:pPr>
              <w:widowControl/>
              <w:spacing w:line="560" w:lineRule="atLeast"/>
              <w:jc w:val="center"/>
              <w:rPr>
                <w:rFonts w:ascii="仿宋" w:hAnsi="仿宋" w:eastAsia="仿宋" w:cs="宋体"/>
                <w:kern w:val="0"/>
                <w:sz w:val="24"/>
                <w:szCs w:val="24"/>
              </w:rPr>
            </w:pPr>
          </w:p>
        </w:tc>
      </w:tr>
      <w:tr>
        <w:tblPrEx>
          <w:tblCellMar>
            <w:top w:w="0" w:type="dxa"/>
            <w:left w:w="0" w:type="dxa"/>
            <w:bottom w:w="0" w:type="dxa"/>
            <w:right w:w="0" w:type="dxa"/>
          </w:tblCellMar>
        </w:tblPrEx>
        <w:trPr>
          <w:trHeight w:val="510" w:hRule="atLeast"/>
          <w:jc w:val="center"/>
        </w:trPr>
        <w:tc>
          <w:tcPr>
            <w:tcW w:w="1168" w:type="dxa"/>
            <w:tcBorders>
              <w:top w:val="nil"/>
              <w:left w:val="single" w:color="000000" w:sz="12" w:space="0"/>
              <w:bottom w:val="single" w:color="000000" w:sz="8" w:space="0"/>
              <w:right w:val="single" w:color="000000" w:sz="8" w:space="0"/>
            </w:tcBorders>
            <w:shd w:val="clear" w:color="auto" w:fill="auto"/>
            <w:tcMar>
              <w:top w:w="15" w:type="dxa"/>
              <w:left w:w="15" w:type="dxa"/>
              <w:bottom w:w="15" w:type="dxa"/>
              <w:right w:w="15" w:type="dxa"/>
            </w:tcMar>
            <w:vAlign w:val="center"/>
          </w:tcPr>
          <w:p>
            <w:pPr>
              <w:widowControl/>
              <w:spacing w:line="560" w:lineRule="atLeast"/>
              <w:jc w:val="center"/>
              <w:rPr>
                <w:rFonts w:ascii="仿宋" w:hAnsi="仿宋" w:eastAsia="仿宋" w:cs="宋体"/>
                <w:kern w:val="0"/>
                <w:sz w:val="24"/>
                <w:szCs w:val="24"/>
              </w:rPr>
            </w:pPr>
          </w:p>
        </w:tc>
        <w:tc>
          <w:tcPr>
            <w:tcW w:w="2708"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widowControl/>
              <w:spacing w:line="560" w:lineRule="atLeast"/>
              <w:jc w:val="center"/>
              <w:rPr>
                <w:rFonts w:ascii="仿宋" w:hAnsi="仿宋" w:eastAsia="仿宋" w:cs="宋体"/>
                <w:kern w:val="0"/>
                <w:sz w:val="24"/>
                <w:szCs w:val="24"/>
              </w:rPr>
            </w:pPr>
          </w:p>
        </w:tc>
        <w:tc>
          <w:tcPr>
            <w:tcW w:w="1277" w:type="dxa"/>
            <w:gridSpan w:val="4"/>
            <w:tcBorders>
              <w:top w:val="nil"/>
              <w:left w:val="nil"/>
              <w:bottom w:val="single" w:color="000000" w:sz="8" w:space="0"/>
              <w:right w:val="single" w:color="auto" w:sz="8" w:space="0"/>
            </w:tcBorders>
            <w:shd w:val="clear" w:color="auto" w:fill="auto"/>
            <w:tcMar>
              <w:top w:w="15" w:type="dxa"/>
              <w:left w:w="15" w:type="dxa"/>
              <w:bottom w:w="15" w:type="dxa"/>
              <w:right w:w="15" w:type="dxa"/>
            </w:tcMar>
            <w:vAlign w:val="center"/>
          </w:tcPr>
          <w:p>
            <w:pPr>
              <w:widowControl/>
              <w:spacing w:line="560" w:lineRule="atLeast"/>
              <w:jc w:val="center"/>
              <w:rPr>
                <w:rFonts w:ascii="仿宋" w:hAnsi="仿宋" w:eastAsia="仿宋" w:cs="宋体"/>
                <w:kern w:val="0"/>
                <w:sz w:val="24"/>
                <w:szCs w:val="24"/>
              </w:rPr>
            </w:pPr>
          </w:p>
        </w:tc>
        <w:tc>
          <w:tcPr>
            <w:tcW w:w="200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widowControl/>
              <w:spacing w:line="560" w:lineRule="atLeast"/>
              <w:jc w:val="center"/>
              <w:rPr>
                <w:rFonts w:ascii="仿宋" w:hAnsi="仿宋" w:eastAsia="仿宋" w:cs="宋体"/>
                <w:kern w:val="0"/>
                <w:sz w:val="24"/>
                <w:szCs w:val="24"/>
              </w:rPr>
            </w:pPr>
          </w:p>
        </w:tc>
        <w:tc>
          <w:tcPr>
            <w:tcW w:w="6301"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widowControl/>
              <w:spacing w:line="560" w:lineRule="atLeast"/>
              <w:jc w:val="center"/>
              <w:rPr>
                <w:rFonts w:ascii="仿宋" w:hAnsi="仿宋" w:eastAsia="仿宋" w:cs="宋体"/>
                <w:kern w:val="0"/>
                <w:sz w:val="24"/>
                <w:szCs w:val="24"/>
              </w:rPr>
            </w:pPr>
          </w:p>
        </w:tc>
        <w:tc>
          <w:tcPr>
            <w:tcW w:w="952" w:type="dxa"/>
            <w:tcBorders>
              <w:top w:val="nil"/>
              <w:left w:val="nil"/>
              <w:bottom w:val="single" w:color="000000" w:sz="8" w:space="0"/>
              <w:right w:val="single" w:color="000000" w:sz="12" w:space="0"/>
            </w:tcBorders>
            <w:shd w:val="clear" w:color="auto" w:fill="auto"/>
            <w:tcMar>
              <w:top w:w="15" w:type="dxa"/>
              <w:left w:w="15" w:type="dxa"/>
              <w:bottom w:w="15" w:type="dxa"/>
              <w:right w:w="15" w:type="dxa"/>
            </w:tcMar>
            <w:vAlign w:val="center"/>
          </w:tcPr>
          <w:p>
            <w:pPr>
              <w:widowControl/>
              <w:spacing w:line="560" w:lineRule="atLeast"/>
              <w:jc w:val="center"/>
              <w:rPr>
                <w:rFonts w:ascii="仿宋" w:hAnsi="仿宋" w:eastAsia="仿宋" w:cs="宋体"/>
                <w:kern w:val="0"/>
                <w:sz w:val="24"/>
                <w:szCs w:val="24"/>
              </w:rPr>
            </w:pPr>
          </w:p>
        </w:tc>
      </w:tr>
      <w:tr>
        <w:tblPrEx>
          <w:tblCellMar>
            <w:top w:w="0" w:type="dxa"/>
            <w:left w:w="0" w:type="dxa"/>
            <w:bottom w:w="0" w:type="dxa"/>
            <w:right w:w="0" w:type="dxa"/>
          </w:tblCellMar>
        </w:tblPrEx>
        <w:trPr>
          <w:trHeight w:val="510" w:hRule="atLeast"/>
          <w:jc w:val="center"/>
        </w:trPr>
        <w:tc>
          <w:tcPr>
            <w:tcW w:w="1168" w:type="dxa"/>
            <w:tcBorders>
              <w:top w:val="nil"/>
              <w:left w:val="single" w:color="000000" w:sz="12" w:space="0"/>
              <w:bottom w:val="single" w:color="000000" w:sz="8" w:space="0"/>
              <w:right w:val="single" w:color="000000" w:sz="8" w:space="0"/>
            </w:tcBorders>
            <w:shd w:val="clear" w:color="auto" w:fill="auto"/>
            <w:tcMar>
              <w:top w:w="15" w:type="dxa"/>
              <w:left w:w="15" w:type="dxa"/>
              <w:bottom w:w="15" w:type="dxa"/>
              <w:right w:w="15" w:type="dxa"/>
            </w:tcMar>
            <w:vAlign w:val="center"/>
          </w:tcPr>
          <w:p>
            <w:pPr>
              <w:widowControl/>
              <w:spacing w:line="560" w:lineRule="atLeast"/>
              <w:jc w:val="center"/>
              <w:rPr>
                <w:rFonts w:ascii="仿宋" w:hAnsi="仿宋" w:eastAsia="仿宋" w:cs="宋体"/>
                <w:kern w:val="0"/>
                <w:sz w:val="24"/>
                <w:szCs w:val="24"/>
              </w:rPr>
            </w:pPr>
          </w:p>
        </w:tc>
        <w:tc>
          <w:tcPr>
            <w:tcW w:w="2708"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widowControl/>
              <w:spacing w:line="560" w:lineRule="atLeast"/>
              <w:jc w:val="center"/>
              <w:rPr>
                <w:rFonts w:ascii="仿宋" w:hAnsi="仿宋" w:eastAsia="仿宋" w:cs="宋体"/>
                <w:kern w:val="0"/>
                <w:sz w:val="24"/>
                <w:szCs w:val="24"/>
              </w:rPr>
            </w:pPr>
          </w:p>
        </w:tc>
        <w:tc>
          <w:tcPr>
            <w:tcW w:w="1277" w:type="dxa"/>
            <w:gridSpan w:val="4"/>
            <w:tcBorders>
              <w:top w:val="nil"/>
              <w:left w:val="nil"/>
              <w:bottom w:val="single" w:color="000000" w:sz="8" w:space="0"/>
              <w:right w:val="single" w:color="auto" w:sz="8" w:space="0"/>
            </w:tcBorders>
            <w:shd w:val="clear" w:color="auto" w:fill="auto"/>
            <w:tcMar>
              <w:top w:w="15" w:type="dxa"/>
              <w:left w:w="15" w:type="dxa"/>
              <w:bottom w:w="15" w:type="dxa"/>
              <w:right w:w="15" w:type="dxa"/>
            </w:tcMar>
            <w:vAlign w:val="center"/>
          </w:tcPr>
          <w:p>
            <w:pPr>
              <w:widowControl/>
              <w:spacing w:line="560" w:lineRule="atLeast"/>
              <w:jc w:val="center"/>
              <w:rPr>
                <w:rFonts w:ascii="仿宋" w:hAnsi="仿宋" w:eastAsia="仿宋" w:cs="宋体"/>
                <w:kern w:val="0"/>
                <w:sz w:val="24"/>
                <w:szCs w:val="24"/>
              </w:rPr>
            </w:pPr>
          </w:p>
        </w:tc>
        <w:tc>
          <w:tcPr>
            <w:tcW w:w="200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widowControl/>
              <w:spacing w:line="560" w:lineRule="atLeast"/>
              <w:jc w:val="center"/>
              <w:rPr>
                <w:rFonts w:ascii="仿宋" w:hAnsi="仿宋" w:eastAsia="仿宋" w:cs="宋体"/>
                <w:kern w:val="0"/>
                <w:sz w:val="24"/>
                <w:szCs w:val="24"/>
              </w:rPr>
            </w:pPr>
          </w:p>
        </w:tc>
        <w:tc>
          <w:tcPr>
            <w:tcW w:w="6301"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widowControl/>
              <w:spacing w:line="560" w:lineRule="atLeast"/>
              <w:jc w:val="center"/>
              <w:rPr>
                <w:rFonts w:ascii="仿宋" w:hAnsi="仿宋" w:eastAsia="仿宋" w:cs="宋体"/>
                <w:kern w:val="0"/>
                <w:sz w:val="24"/>
                <w:szCs w:val="24"/>
              </w:rPr>
            </w:pPr>
          </w:p>
        </w:tc>
        <w:tc>
          <w:tcPr>
            <w:tcW w:w="952" w:type="dxa"/>
            <w:tcBorders>
              <w:top w:val="nil"/>
              <w:left w:val="nil"/>
              <w:bottom w:val="single" w:color="000000" w:sz="8" w:space="0"/>
              <w:right w:val="single" w:color="000000" w:sz="12" w:space="0"/>
            </w:tcBorders>
            <w:shd w:val="clear" w:color="auto" w:fill="auto"/>
            <w:tcMar>
              <w:top w:w="15" w:type="dxa"/>
              <w:left w:w="15" w:type="dxa"/>
              <w:bottom w:w="15" w:type="dxa"/>
              <w:right w:w="15" w:type="dxa"/>
            </w:tcMar>
            <w:vAlign w:val="center"/>
          </w:tcPr>
          <w:p>
            <w:pPr>
              <w:widowControl/>
              <w:spacing w:line="560" w:lineRule="atLeast"/>
              <w:jc w:val="center"/>
              <w:rPr>
                <w:rFonts w:ascii="仿宋" w:hAnsi="仿宋" w:eastAsia="仿宋" w:cs="宋体"/>
                <w:kern w:val="0"/>
                <w:sz w:val="24"/>
                <w:szCs w:val="24"/>
              </w:rPr>
            </w:pPr>
          </w:p>
        </w:tc>
      </w:tr>
      <w:tr>
        <w:tblPrEx>
          <w:tblCellMar>
            <w:top w:w="0" w:type="dxa"/>
            <w:left w:w="0" w:type="dxa"/>
            <w:bottom w:w="0" w:type="dxa"/>
            <w:right w:w="0" w:type="dxa"/>
          </w:tblCellMar>
        </w:tblPrEx>
        <w:trPr>
          <w:trHeight w:val="510" w:hRule="atLeast"/>
          <w:jc w:val="center"/>
        </w:trPr>
        <w:tc>
          <w:tcPr>
            <w:tcW w:w="1168" w:type="dxa"/>
            <w:tcBorders>
              <w:top w:val="nil"/>
              <w:left w:val="single" w:color="000000" w:sz="12" w:space="0"/>
              <w:bottom w:val="single" w:color="000000" w:sz="8" w:space="0"/>
              <w:right w:val="single" w:color="000000" w:sz="8" w:space="0"/>
            </w:tcBorders>
            <w:shd w:val="clear" w:color="auto" w:fill="auto"/>
            <w:tcMar>
              <w:top w:w="15" w:type="dxa"/>
              <w:left w:w="15" w:type="dxa"/>
              <w:bottom w:w="15" w:type="dxa"/>
              <w:right w:w="15" w:type="dxa"/>
            </w:tcMar>
            <w:vAlign w:val="center"/>
          </w:tcPr>
          <w:p>
            <w:pPr>
              <w:widowControl/>
              <w:spacing w:line="560" w:lineRule="atLeast"/>
              <w:jc w:val="center"/>
              <w:rPr>
                <w:rFonts w:ascii="仿宋" w:hAnsi="仿宋" w:eastAsia="仿宋" w:cs="宋体"/>
                <w:kern w:val="0"/>
                <w:sz w:val="24"/>
                <w:szCs w:val="24"/>
              </w:rPr>
            </w:pPr>
          </w:p>
        </w:tc>
        <w:tc>
          <w:tcPr>
            <w:tcW w:w="2708"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widowControl/>
              <w:spacing w:line="560" w:lineRule="atLeast"/>
              <w:jc w:val="center"/>
              <w:rPr>
                <w:rFonts w:ascii="仿宋" w:hAnsi="仿宋" w:eastAsia="仿宋" w:cs="宋体"/>
                <w:kern w:val="0"/>
                <w:sz w:val="24"/>
                <w:szCs w:val="24"/>
              </w:rPr>
            </w:pPr>
          </w:p>
        </w:tc>
        <w:tc>
          <w:tcPr>
            <w:tcW w:w="1277" w:type="dxa"/>
            <w:gridSpan w:val="4"/>
            <w:tcBorders>
              <w:top w:val="nil"/>
              <w:left w:val="nil"/>
              <w:bottom w:val="single" w:color="000000" w:sz="8" w:space="0"/>
              <w:right w:val="single" w:color="auto" w:sz="8" w:space="0"/>
            </w:tcBorders>
            <w:shd w:val="clear" w:color="auto" w:fill="auto"/>
            <w:tcMar>
              <w:top w:w="15" w:type="dxa"/>
              <w:left w:w="15" w:type="dxa"/>
              <w:bottom w:w="15" w:type="dxa"/>
              <w:right w:w="15" w:type="dxa"/>
            </w:tcMar>
            <w:vAlign w:val="center"/>
          </w:tcPr>
          <w:p>
            <w:pPr>
              <w:widowControl/>
              <w:spacing w:line="560" w:lineRule="atLeast"/>
              <w:jc w:val="center"/>
              <w:rPr>
                <w:rFonts w:ascii="仿宋" w:hAnsi="仿宋" w:eastAsia="仿宋" w:cs="宋体"/>
                <w:kern w:val="0"/>
                <w:sz w:val="24"/>
                <w:szCs w:val="24"/>
              </w:rPr>
            </w:pPr>
          </w:p>
        </w:tc>
        <w:tc>
          <w:tcPr>
            <w:tcW w:w="200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widowControl/>
              <w:spacing w:line="560" w:lineRule="atLeast"/>
              <w:jc w:val="center"/>
              <w:rPr>
                <w:rFonts w:ascii="仿宋" w:hAnsi="仿宋" w:eastAsia="仿宋" w:cs="宋体"/>
                <w:kern w:val="0"/>
                <w:sz w:val="24"/>
                <w:szCs w:val="24"/>
              </w:rPr>
            </w:pPr>
          </w:p>
        </w:tc>
        <w:tc>
          <w:tcPr>
            <w:tcW w:w="6301"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widowControl/>
              <w:spacing w:line="560" w:lineRule="atLeast"/>
              <w:jc w:val="center"/>
              <w:rPr>
                <w:rFonts w:ascii="仿宋" w:hAnsi="仿宋" w:eastAsia="仿宋" w:cs="宋体"/>
                <w:kern w:val="0"/>
                <w:sz w:val="24"/>
                <w:szCs w:val="24"/>
              </w:rPr>
            </w:pPr>
          </w:p>
        </w:tc>
        <w:tc>
          <w:tcPr>
            <w:tcW w:w="952" w:type="dxa"/>
            <w:tcBorders>
              <w:top w:val="nil"/>
              <w:left w:val="nil"/>
              <w:bottom w:val="single" w:color="000000" w:sz="8" w:space="0"/>
              <w:right w:val="single" w:color="000000" w:sz="12" w:space="0"/>
            </w:tcBorders>
            <w:shd w:val="clear" w:color="auto" w:fill="auto"/>
            <w:tcMar>
              <w:top w:w="15" w:type="dxa"/>
              <w:left w:w="15" w:type="dxa"/>
              <w:bottom w:w="15" w:type="dxa"/>
              <w:right w:w="15" w:type="dxa"/>
            </w:tcMar>
            <w:vAlign w:val="center"/>
          </w:tcPr>
          <w:p>
            <w:pPr>
              <w:widowControl/>
              <w:spacing w:line="560" w:lineRule="atLeast"/>
              <w:jc w:val="center"/>
              <w:rPr>
                <w:rFonts w:ascii="仿宋" w:hAnsi="仿宋" w:eastAsia="仿宋" w:cs="宋体"/>
                <w:kern w:val="0"/>
                <w:sz w:val="24"/>
                <w:szCs w:val="24"/>
              </w:rPr>
            </w:pPr>
          </w:p>
        </w:tc>
      </w:tr>
      <w:tr>
        <w:tblPrEx>
          <w:tblCellMar>
            <w:top w:w="0" w:type="dxa"/>
            <w:left w:w="0" w:type="dxa"/>
            <w:bottom w:w="0" w:type="dxa"/>
            <w:right w:w="0" w:type="dxa"/>
          </w:tblCellMar>
        </w:tblPrEx>
        <w:trPr>
          <w:trHeight w:val="510" w:hRule="atLeast"/>
          <w:jc w:val="center"/>
        </w:trPr>
        <w:tc>
          <w:tcPr>
            <w:tcW w:w="1168" w:type="dxa"/>
            <w:tcBorders>
              <w:top w:val="nil"/>
              <w:left w:val="single" w:color="000000" w:sz="12" w:space="0"/>
              <w:bottom w:val="single" w:color="000000" w:sz="8" w:space="0"/>
              <w:right w:val="single" w:color="000000" w:sz="8" w:space="0"/>
            </w:tcBorders>
            <w:shd w:val="clear" w:color="auto" w:fill="auto"/>
            <w:tcMar>
              <w:top w:w="15" w:type="dxa"/>
              <w:left w:w="15" w:type="dxa"/>
              <w:bottom w:w="15" w:type="dxa"/>
              <w:right w:w="15" w:type="dxa"/>
            </w:tcMar>
            <w:vAlign w:val="center"/>
          </w:tcPr>
          <w:p>
            <w:pPr>
              <w:widowControl/>
              <w:spacing w:line="560" w:lineRule="atLeast"/>
              <w:jc w:val="center"/>
              <w:rPr>
                <w:rFonts w:ascii="仿宋" w:hAnsi="仿宋" w:eastAsia="仿宋" w:cs="宋体"/>
                <w:kern w:val="0"/>
                <w:sz w:val="24"/>
                <w:szCs w:val="24"/>
              </w:rPr>
            </w:pPr>
          </w:p>
        </w:tc>
        <w:tc>
          <w:tcPr>
            <w:tcW w:w="2708"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widowControl/>
              <w:spacing w:line="560" w:lineRule="atLeast"/>
              <w:jc w:val="center"/>
              <w:rPr>
                <w:rFonts w:ascii="仿宋" w:hAnsi="仿宋" w:eastAsia="仿宋" w:cs="宋体"/>
                <w:kern w:val="0"/>
                <w:sz w:val="24"/>
                <w:szCs w:val="24"/>
              </w:rPr>
            </w:pPr>
          </w:p>
        </w:tc>
        <w:tc>
          <w:tcPr>
            <w:tcW w:w="1277" w:type="dxa"/>
            <w:gridSpan w:val="4"/>
            <w:tcBorders>
              <w:top w:val="nil"/>
              <w:left w:val="nil"/>
              <w:bottom w:val="single" w:color="000000" w:sz="8" w:space="0"/>
              <w:right w:val="single" w:color="auto" w:sz="8" w:space="0"/>
            </w:tcBorders>
            <w:shd w:val="clear" w:color="auto" w:fill="auto"/>
            <w:tcMar>
              <w:top w:w="15" w:type="dxa"/>
              <w:left w:w="15" w:type="dxa"/>
              <w:bottom w:w="15" w:type="dxa"/>
              <w:right w:w="15" w:type="dxa"/>
            </w:tcMar>
            <w:vAlign w:val="center"/>
          </w:tcPr>
          <w:p>
            <w:pPr>
              <w:widowControl/>
              <w:spacing w:line="560" w:lineRule="atLeast"/>
              <w:jc w:val="center"/>
              <w:rPr>
                <w:rFonts w:ascii="仿宋" w:hAnsi="仿宋" w:eastAsia="仿宋" w:cs="宋体"/>
                <w:kern w:val="0"/>
                <w:sz w:val="24"/>
                <w:szCs w:val="24"/>
              </w:rPr>
            </w:pPr>
          </w:p>
        </w:tc>
        <w:tc>
          <w:tcPr>
            <w:tcW w:w="200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widowControl/>
              <w:spacing w:line="560" w:lineRule="atLeast"/>
              <w:jc w:val="center"/>
              <w:rPr>
                <w:rFonts w:ascii="仿宋" w:hAnsi="仿宋" w:eastAsia="仿宋" w:cs="宋体"/>
                <w:kern w:val="0"/>
                <w:sz w:val="24"/>
                <w:szCs w:val="24"/>
              </w:rPr>
            </w:pPr>
          </w:p>
        </w:tc>
        <w:tc>
          <w:tcPr>
            <w:tcW w:w="6301"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widowControl/>
              <w:spacing w:line="560" w:lineRule="atLeast"/>
              <w:jc w:val="center"/>
              <w:rPr>
                <w:rFonts w:ascii="仿宋" w:hAnsi="仿宋" w:eastAsia="仿宋" w:cs="宋体"/>
                <w:kern w:val="0"/>
                <w:sz w:val="24"/>
                <w:szCs w:val="24"/>
              </w:rPr>
            </w:pPr>
          </w:p>
        </w:tc>
        <w:tc>
          <w:tcPr>
            <w:tcW w:w="952" w:type="dxa"/>
            <w:tcBorders>
              <w:top w:val="nil"/>
              <w:left w:val="nil"/>
              <w:bottom w:val="single" w:color="000000" w:sz="8" w:space="0"/>
              <w:right w:val="single" w:color="000000" w:sz="12" w:space="0"/>
            </w:tcBorders>
            <w:shd w:val="clear" w:color="auto" w:fill="auto"/>
            <w:tcMar>
              <w:top w:w="15" w:type="dxa"/>
              <w:left w:w="15" w:type="dxa"/>
              <w:bottom w:w="15" w:type="dxa"/>
              <w:right w:w="15" w:type="dxa"/>
            </w:tcMar>
            <w:vAlign w:val="center"/>
          </w:tcPr>
          <w:p>
            <w:pPr>
              <w:widowControl/>
              <w:spacing w:line="560" w:lineRule="atLeast"/>
              <w:jc w:val="center"/>
              <w:rPr>
                <w:rFonts w:ascii="仿宋" w:hAnsi="仿宋" w:eastAsia="仿宋" w:cs="宋体"/>
                <w:kern w:val="0"/>
                <w:sz w:val="24"/>
                <w:szCs w:val="24"/>
              </w:rPr>
            </w:pPr>
          </w:p>
        </w:tc>
      </w:tr>
      <w:tr>
        <w:tblPrEx>
          <w:tblCellMar>
            <w:top w:w="0" w:type="dxa"/>
            <w:left w:w="0" w:type="dxa"/>
            <w:bottom w:w="0" w:type="dxa"/>
            <w:right w:w="0" w:type="dxa"/>
          </w:tblCellMar>
        </w:tblPrEx>
        <w:trPr>
          <w:trHeight w:val="510" w:hRule="atLeast"/>
          <w:jc w:val="center"/>
        </w:trPr>
        <w:tc>
          <w:tcPr>
            <w:tcW w:w="1168" w:type="dxa"/>
            <w:tcBorders>
              <w:top w:val="nil"/>
              <w:left w:val="single" w:color="000000" w:sz="12" w:space="0"/>
              <w:bottom w:val="single" w:color="000000" w:sz="8" w:space="0"/>
              <w:right w:val="single" w:color="000000" w:sz="8" w:space="0"/>
            </w:tcBorders>
            <w:shd w:val="clear" w:color="auto" w:fill="auto"/>
            <w:tcMar>
              <w:top w:w="15" w:type="dxa"/>
              <w:left w:w="15" w:type="dxa"/>
              <w:bottom w:w="15" w:type="dxa"/>
              <w:right w:w="15" w:type="dxa"/>
            </w:tcMar>
            <w:vAlign w:val="center"/>
          </w:tcPr>
          <w:p>
            <w:pPr>
              <w:widowControl/>
              <w:spacing w:line="560" w:lineRule="atLeast"/>
              <w:jc w:val="center"/>
              <w:rPr>
                <w:rFonts w:ascii="仿宋" w:hAnsi="仿宋" w:eastAsia="仿宋" w:cs="宋体"/>
                <w:kern w:val="0"/>
                <w:sz w:val="24"/>
                <w:szCs w:val="24"/>
              </w:rPr>
            </w:pPr>
          </w:p>
        </w:tc>
        <w:tc>
          <w:tcPr>
            <w:tcW w:w="2708"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widowControl/>
              <w:spacing w:line="560" w:lineRule="atLeast"/>
              <w:jc w:val="center"/>
              <w:rPr>
                <w:rFonts w:ascii="仿宋" w:hAnsi="仿宋" w:eastAsia="仿宋" w:cs="宋体"/>
                <w:kern w:val="0"/>
                <w:sz w:val="24"/>
                <w:szCs w:val="24"/>
              </w:rPr>
            </w:pPr>
          </w:p>
        </w:tc>
        <w:tc>
          <w:tcPr>
            <w:tcW w:w="1277" w:type="dxa"/>
            <w:gridSpan w:val="4"/>
            <w:tcBorders>
              <w:top w:val="nil"/>
              <w:left w:val="nil"/>
              <w:bottom w:val="single" w:color="000000" w:sz="8" w:space="0"/>
              <w:right w:val="single" w:color="auto" w:sz="8" w:space="0"/>
            </w:tcBorders>
            <w:shd w:val="clear" w:color="auto" w:fill="auto"/>
            <w:tcMar>
              <w:top w:w="15" w:type="dxa"/>
              <w:left w:w="15" w:type="dxa"/>
              <w:bottom w:w="15" w:type="dxa"/>
              <w:right w:w="15" w:type="dxa"/>
            </w:tcMar>
            <w:vAlign w:val="center"/>
          </w:tcPr>
          <w:p>
            <w:pPr>
              <w:widowControl/>
              <w:spacing w:line="560" w:lineRule="atLeast"/>
              <w:jc w:val="center"/>
              <w:rPr>
                <w:rFonts w:ascii="仿宋" w:hAnsi="仿宋" w:eastAsia="仿宋" w:cs="宋体"/>
                <w:kern w:val="0"/>
                <w:sz w:val="24"/>
                <w:szCs w:val="24"/>
              </w:rPr>
            </w:pPr>
          </w:p>
        </w:tc>
        <w:tc>
          <w:tcPr>
            <w:tcW w:w="200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widowControl/>
              <w:spacing w:line="560" w:lineRule="atLeast"/>
              <w:jc w:val="center"/>
              <w:rPr>
                <w:rFonts w:ascii="仿宋" w:hAnsi="仿宋" w:eastAsia="仿宋" w:cs="宋体"/>
                <w:kern w:val="0"/>
                <w:sz w:val="24"/>
                <w:szCs w:val="24"/>
              </w:rPr>
            </w:pPr>
          </w:p>
        </w:tc>
        <w:tc>
          <w:tcPr>
            <w:tcW w:w="6301"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widowControl/>
              <w:spacing w:line="560" w:lineRule="atLeast"/>
              <w:jc w:val="center"/>
              <w:rPr>
                <w:rFonts w:ascii="仿宋" w:hAnsi="仿宋" w:eastAsia="仿宋" w:cs="宋体"/>
                <w:kern w:val="0"/>
                <w:sz w:val="24"/>
                <w:szCs w:val="24"/>
              </w:rPr>
            </w:pPr>
          </w:p>
        </w:tc>
        <w:tc>
          <w:tcPr>
            <w:tcW w:w="952" w:type="dxa"/>
            <w:tcBorders>
              <w:top w:val="nil"/>
              <w:left w:val="nil"/>
              <w:bottom w:val="single" w:color="000000" w:sz="8" w:space="0"/>
              <w:right w:val="single" w:color="000000" w:sz="12" w:space="0"/>
            </w:tcBorders>
            <w:shd w:val="clear" w:color="auto" w:fill="auto"/>
            <w:tcMar>
              <w:top w:w="15" w:type="dxa"/>
              <w:left w:w="15" w:type="dxa"/>
              <w:bottom w:w="15" w:type="dxa"/>
              <w:right w:w="15" w:type="dxa"/>
            </w:tcMar>
            <w:vAlign w:val="center"/>
          </w:tcPr>
          <w:p>
            <w:pPr>
              <w:widowControl/>
              <w:spacing w:line="560" w:lineRule="atLeast"/>
              <w:jc w:val="center"/>
              <w:rPr>
                <w:rFonts w:ascii="仿宋" w:hAnsi="仿宋" w:eastAsia="仿宋" w:cs="宋体"/>
                <w:kern w:val="0"/>
                <w:sz w:val="24"/>
                <w:szCs w:val="24"/>
              </w:rPr>
            </w:pPr>
          </w:p>
        </w:tc>
      </w:tr>
      <w:tr>
        <w:tblPrEx>
          <w:tblCellMar>
            <w:top w:w="0" w:type="dxa"/>
            <w:left w:w="0" w:type="dxa"/>
            <w:bottom w:w="0" w:type="dxa"/>
            <w:right w:w="0" w:type="dxa"/>
          </w:tblCellMar>
        </w:tblPrEx>
        <w:trPr>
          <w:trHeight w:val="510" w:hRule="atLeast"/>
          <w:jc w:val="center"/>
        </w:trPr>
        <w:tc>
          <w:tcPr>
            <w:tcW w:w="1168" w:type="dxa"/>
            <w:tcBorders>
              <w:top w:val="nil"/>
              <w:left w:val="single" w:color="000000" w:sz="12" w:space="0"/>
              <w:bottom w:val="single" w:color="000000" w:sz="8" w:space="0"/>
              <w:right w:val="single" w:color="000000" w:sz="8" w:space="0"/>
            </w:tcBorders>
            <w:shd w:val="clear" w:color="auto" w:fill="auto"/>
            <w:tcMar>
              <w:top w:w="15" w:type="dxa"/>
              <w:left w:w="15" w:type="dxa"/>
              <w:bottom w:w="15" w:type="dxa"/>
              <w:right w:w="15" w:type="dxa"/>
            </w:tcMar>
            <w:vAlign w:val="center"/>
          </w:tcPr>
          <w:p>
            <w:pPr>
              <w:widowControl/>
              <w:spacing w:line="560" w:lineRule="atLeast"/>
              <w:jc w:val="center"/>
              <w:rPr>
                <w:rFonts w:ascii="仿宋" w:hAnsi="仿宋" w:eastAsia="仿宋" w:cs="宋体"/>
                <w:kern w:val="0"/>
                <w:sz w:val="24"/>
                <w:szCs w:val="24"/>
              </w:rPr>
            </w:pPr>
          </w:p>
        </w:tc>
        <w:tc>
          <w:tcPr>
            <w:tcW w:w="2708"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widowControl/>
              <w:spacing w:line="560" w:lineRule="atLeast"/>
              <w:jc w:val="center"/>
              <w:rPr>
                <w:rFonts w:ascii="仿宋" w:hAnsi="仿宋" w:eastAsia="仿宋" w:cs="宋体"/>
                <w:kern w:val="0"/>
                <w:sz w:val="24"/>
                <w:szCs w:val="24"/>
              </w:rPr>
            </w:pPr>
          </w:p>
        </w:tc>
        <w:tc>
          <w:tcPr>
            <w:tcW w:w="1277" w:type="dxa"/>
            <w:gridSpan w:val="4"/>
            <w:tcBorders>
              <w:top w:val="nil"/>
              <w:left w:val="nil"/>
              <w:bottom w:val="single" w:color="000000" w:sz="8" w:space="0"/>
              <w:right w:val="single" w:color="auto" w:sz="8" w:space="0"/>
            </w:tcBorders>
            <w:shd w:val="clear" w:color="auto" w:fill="auto"/>
            <w:tcMar>
              <w:top w:w="15" w:type="dxa"/>
              <w:left w:w="15" w:type="dxa"/>
              <w:bottom w:w="15" w:type="dxa"/>
              <w:right w:w="15" w:type="dxa"/>
            </w:tcMar>
            <w:vAlign w:val="center"/>
          </w:tcPr>
          <w:p>
            <w:pPr>
              <w:widowControl/>
              <w:spacing w:line="560" w:lineRule="atLeast"/>
              <w:jc w:val="center"/>
              <w:rPr>
                <w:rFonts w:ascii="仿宋" w:hAnsi="仿宋" w:eastAsia="仿宋" w:cs="宋体"/>
                <w:kern w:val="0"/>
                <w:sz w:val="24"/>
                <w:szCs w:val="24"/>
              </w:rPr>
            </w:pPr>
          </w:p>
        </w:tc>
        <w:tc>
          <w:tcPr>
            <w:tcW w:w="200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widowControl/>
              <w:spacing w:line="560" w:lineRule="atLeast"/>
              <w:jc w:val="center"/>
              <w:rPr>
                <w:rFonts w:ascii="仿宋" w:hAnsi="仿宋" w:eastAsia="仿宋" w:cs="宋体"/>
                <w:kern w:val="0"/>
                <w:sz w:val="24"/>
                <w:szCs w:val="24"/>
              </w:rPr>
            </w:pPr>
          </w:p>
        </w:tc>
        <w:tc>
          <w:tcPr>
            <w:tcW w:w="6301"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widowControl/>
              <w:spacing w:line="560" w:lineRule="atLeast"/>
              <w:jc w:val="center"/>
              <w:rPr>
                <w:rFonts w:ascii="仿宋" w:hAnsi="仿宋" w:eastAsia="仿宋" w:cs="宋体"/>
                <w:kern w:val="0"/>
                <w:sz w:val="24"/>
                <w:szCs w:val="24"/>
              </w:rPr>
            </w:pPr>
          </w:p>
        </w:tc>
        <w:tc>
          <w:tcPr>
            <w:tcW w:w="952" w:type="dxa"/>
            <w:tcBorders>
              <w:top w:val="nil"/>
              <w:left w:val="nil"/>
              <w:bottom w:val="single" w:color="000000" w:sz="8" w:space="0"/>
              <w:right w:val="single" w:color="000000" w:sz="12" w:space="0"/>
            </w:tcBorders>
            <w:shd w:val="clear" w:color="auto" w:fill="auto"/>
            <w:tcMar>
              <w:top w:w="15" w:type="dxa"/>
              <w:left w:w="15" w:type="dxa"/>
              <w:bottom w:w="15" w:type="dxa"/>
              <w:right w:w="15" w:type="dxa"/>
            </w:tcMar>
            <w:vAlign w:val="center"/>
          </w:tcPr>
          <w:p>
            <w:pPr>
              <w:widowControl/>
              <w:spacing w:line="560" w:lineRule="atLeast"/>
              <w:jc w:val="center"/>
              <w:rPr>
                <w:rFonts w:ascii="仿宋" w:hAnsi="仿宋" w:eastAsia="仿宋" w:cs="宋体"/>
                <w:kern w:val="0"/>
                <w:sz w:val="24"/>
                <w:szCs w:val="24"/>
              </w:rPr>
            </w:pPr>
          </w:p>
        </w:tc>
      </w:tr>
      <w:tr>
        <w:tblPrEx>
          <w:tblCellMar>
            <w:top w:w="0" w:type="dxa"/>
            <w:left w:w="0" w:type="dxa"/>
            <w:bottom w:w="0" w:type="dxa"/>
            <w:right w:w="0" w:type="dxa"/>
          </w:tblCellMar>
        </w:tblPrEx>
        <w:trPr>
          <w:trHeight w:val="510" w:hRule="atLeast"/>
          <w:jc w:val="center"/>
        </w:trPr>
        <w:tc>
          <w:tcPr>
            <w:tcW w:w="1168" w:type="dxa"/>
            <w:tcBorders>
              <w:top w:val="nil"/>
              <w:left w:val="single" w:color="000000" w:sz="12" w:space="0"/>
              <w:bottom w:val="single" w:color="000000" w:sz="8" w:space="0"/>
              <w:right w:val="single" w:color="000000" w:sz="8" w:space="0"/>
            </w:tcBorders>
            <w:shd w:val="clear" w:color="auto" w:fill="auto"/>
            <w:tcMar>
              <w:top w:w="15" w:type="dxa"/>
              <w:left w:w="15" w:type="dxa"/>
              <w:bottom w:w="15" w:type="dxa"/>
              <w:right w:w="15" w:type="dxa"/>
            </w:tcMar>
            <w:vAlign w:val="center"/>
          </w:tcPr>
          <w:p>
            <w:pPr>
              <w:widowControl/>
              <w:spacing w:line="560" w:lineRule="atLeast"/>
              <w:jc w:val="center"/>
              <w:rPr>
                <w:rFonts w:ascii="仿宋" w:hAnsi="仿宋" w:eastAsia="仿宋" w:cs="宋体"/>
                <w:kern w:val="0"/>
                <w:sz w:val="24"/>
                <w:szCs w:val="24"/>
              </w:rPr>
            </w:pPr>
          </w:p>
        </w:tc>
        <w:tc>
          <w:tcPr>
            <w:tcW w:w="2708"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widowControl/>
              <w:spacing w:line="560" w:lineRule="atLeast"/>
              <w:jc w:val="center"/>
              <w:rPr>
                <w:rFonts w:ascii="仿宋" w:hAnsi="仿宋" w:eastAsia="仿宋" w:cs="宋体"/>
                <w:kern w:val="0"/>
                <w:sz w:val="24"/>
                <w:szCs w:val="24"/>
              </w:rPr>
            </w:pPr>
          </w:p>
        </w:tc>
        <w:tc>
          <w:tcPr>
            <w:tcW w:w="1277" w:type="dxa"/>
            <w:gridSpan w:val="4"/>
            <w:tcBorders>
              <w:top w:val="nil"/>
              <w:left w:val="nil"/>
              <w:bottom w:val="single" w:color="000000" w:sz="8" w:space="0"/>
              <w:right w:val="single" w:color="auto" w:sz="8" w:space="0"/>
            </w:tcBorders>
            <w:shd w:val="clear" w:color="auto" w:fill="auto"/>
            <w:tcMar>
              <w:top w:w="15" w:type="dxa"/>
              <w:left w:w="15" w:type="dxa"/>
              <w:bottom w:w="15" w:type="dxa"/>
              <w:right w:w="15" w:type="dxa"/>
            </w:tcMar>
            <w:vAlign w:val="center"/>
          </w:tcPr>
          <w:p>
            <w:pPr>
              <w:widowControl/>
              <w:spacing w:line="560" w:lineRule="atLeast"/>
              <w:jc w:val="center"/>
              <w:rPr>
                <w:rFonts w:ascii="仿宋" w:hAnsi="仿宋" w:eastAsia="仿宋" w:cs="宋体"/>
                <w:kern w:val="0"/>
                <w:sz w:val="24"/>
                <w:szCs w:val="24"/>
              </w:rPr>
            </w:pPr>
          </w:p>
        </w:tc>
        <w:tc>
          <w:tcPr>
            <w:tcW w:w="200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widowControl/>
              <w:spacing w:line="560" w:lineRule="atLeast"/>
              <w:jc w:val="center"/>
              <w:rPr>
                <w:rFonts w:ascii="仿宋" w:hAnsi="仿宋" w:eastAsia="仿宋" w:cs="宋体"/>
                <w:kern w:val="0"/>
                <w:sz w:val="24"/>
                <w:szCs w:val="24"/>
              </w:rPr>
            </w:pPr>
          </w:p>
        </w:tc>
        <w:tc>
          <w:tcPr>
            <w:tcW w:w="6301"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widowControl/>
              <w:spacing w:line="560" w:lineRule="atLeast"/>
              <w:jc w:val="center"/>
              <w:rPr>
                <w:rFonts w:ascii="仿宋" w:hAnsi="仿宋" w:eastAsia="仿宋" w:cs="宋体"/>
                <w:kern w:val="0"/>
                <w:sz w:val="24"/>
                <w:szCs w:val="24"/>
              </w:rPr>
            </w:pPr>
          </w:p>
        </w:tc>
        <w:tc>
          <w:tcPr>
            <w:tcW w:w="952" w:type="dxa"/>
            <w:tcBorders>
              <w:top w:val="nil"/>
              <w:left w:val="nil"/>
              <w:bottom w:val="single" w:color="000000" w:sz="8" w:space="0"/>
              <w:right w:val="single" w:color="000000" w:sz="12" w:space="0"/>
            </w:tcBorders>
            <w:shd w:val="clear" w:color="auto" w:fill="auto"/>
            <w:tcMar>
              <w:top w:w="15" w:type="dxa"/>
              <w:left w:w="15" w:type="dxa"/>
              <w:bottom w:w="15" w:type="dxa"/>
              <w:right w:w="15" w:type="dxa"/>
            </w:tcMar>
            <w:vAlign w:val="center"/>
          </w:tcPr>
          <w:p>
            <w:pPr>
              <w:widowControl/>
              <w:spacing w:line="560" w:lineRule="atLeast"/>
              <w:jc w:val="center"/>
              <w:rPr>
                <w:rFonts w:ascii="仿宋" w:hAnsi="仿宋" w:eastAsia="仿宋" w:cs="宋体"/>
                <w:kern w:val="0"/>
                <w:sz w:val="24"/>
                <w:szCs w:val="24"/>
              </w:rPr>
            </w:pPr>
          </w:p>
        </w:tc>
      </w:tr>
      <w:tr>
        <w:tblPrEx>
          <w:tblCellMar>
            <w:top w:w="0" w:type="dxa"/>
            <w:left w:w="0" w:type="dxa"/>
            <w:bottom w:w="0" w:type="dxa"/>
            <w:right w:w="0" w:type="dxa"/>
          </w:tblCellMar>
        </w:tblPrEx>
        <w:trPr>
          <w:trHeight w:val="510" w:hRule="atLeast"/>
          <w:jc w:val="center"/>
        </w:trPr>
        <w:tc>
          <w:tcPr>
            <w:tcW w:w="1168" w:type="dxa"/>
            <w:tcBorders>
              <w:top w:val="nil"/>
              <w:left w:val="single" w:color="000000" w:sz="12" w:space="0"/>
              <w:bottom w:val="single" w:color="000000" w:sz="8" w:space="0"/>
              <w:right w:val="single" w:color="000000" w:sz="8" w:space="0"/>
            </w:tcBorders>
            <w:shd w:val="clear" w:color="auto" w:fill="auto"/>
            <w:tcMar>
              <w:top w:w="15" w:type="dxa"/>
              <w:left w:w="15" w:type="dxa"/>
              <w:bottom w:w="15" w:type="dxa"/>
              <w:right w:w="15" w:type="dxa"/>
            </w:tcMar>
            <w:vAlign w:val="center"/>
          </w:tcPr>
          <w:p>
            <w:pPr>
              <w:widowControl/>
              <w:spacing w:line="560" w:lineRule="atLeast"/>
              <w:jc w:val="center"/>
              <w:rPr>
                <w:rFonts w:ascii="仿宋" w:hAnsi="仿宋" w:eastAsia="仿宋" w:cs="宋体"/>
                <w:kern w:val="0"/>
                <w:sz w:val="24"/>
                <w:szCs w:val="24"/>
              </w:rPr>
            </w:pPr>
          </w:p>
        </w:tc>
        <w:tc>
          <w:tcPr>
            <w:tcW w:w="2708"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widowControl/>
              <w:spacing w:line="560" w:lineRule="atLeast"/>
              <w:jc w:val="center"/>
              <w:rPr>
                <w:rFonts w:ascii="仿宋" w:hAnsi="仿宋" w:eastAsia="仿宋" w:cs="宋体"/>
                <w:kern w:val="0"/>
                <w:sz w:val="24"/>
                <w:szCs w:val="24"/>
              </w:rPr>
            </w:pPr>
          </w:p>
        </w:tc>
        <w:tc>
          <w:tcPr>
            <w:tcW w:w="1277" w:type="dxa"/>
            <w:gridSpan w:val="4"/>
            <w:tcBorders>
              <w:top w:val="nil"/>
              <w:left w:val="nil"/>
              <w:bottom w:val="single" w:color="000000" w:sz="8" w:space="0"/>
              <w:right w:val="single" w:color="auto" w:sz="8" w:space="0"/>
            </w:tcBorders>
            <w:shd w:val="clear" w:color="auto" w:fill="auto"/>
            <w:tcMar>
              <w:top w:w="15" w:type="dxa"/>
              <w:left w:w="15" w:type="dxa"/>
              <w:bottom w:w="15" w:type="dxa"/>
              <w:right w:w="15" w:type="dxa"/>
            </w:tcMar>
            <w:vAlign w:val="center"/>
          </w:tcPr>
          <w:p>
            <w:pPr>
              <w:widowControl/>
              <w:spacing w:line="560" w:lineRule="atLeast"/>
              <w:jc w:val="center"/>
              <w:rPr>
                <w:rFonts w:ascii="仿宋" w:hAnsi="仿宋" w:eastAsia="仿宋" w:cs="宋体"/>
                <w:kern w:val="0"/>
                <w:sz w:val="24"/>
                <w:szCs w:val="24"/>
              </w:rPr>
            </w:pPr>
          </w:p>
        </w:tc>
        <w:tc>
          <w:tcPr>
            <w:tcW w:w="200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widowControl/>
              <w:spacing w:line="560" w:lineRule="atLeast"/>
              <w:jc w:val="center"/>
              <w:rPr>
                <w:rFonts w:ascii="仿宋" w:hAnsi="仿宋" w:eastAsia="仿宋" w:cs="宋体"/>
                <w:kern w:val="0"/>
                <w:sz w:val="24"/>
                <w:szCs w:val="24"/>
              </w:rPr>
            </w:pPr>
          </w:p>
        </w:tc>
        <w:tc>
          <w:tcPr>
            <w:tcW w:w="6301"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widowControl/>
              <w:spacing w:line="560" w:lineRule="atLeast"/>
              <w:jc w:val="center"/>
              <w:rPr>
                <w:rFonts w:ascii="仿宋" w:hAnsi="仿宋" w:eastAsia="仿宋" w:cs="宋体"/>
                <w:kern w:val="0"/>
                <w:sz w:val="24"/>
                <w:szCs w:val="24"/>
              </w:rPr>
            </w:pPr>
          </w:p>
        </w:tc>
        <w:tc>
          <w:tcPr>
            <w:tcW w:w="952" w:type="dxa"/>
            <w:tcBorders>
              <w:top w:val="nil"/>
              <w:left w:val="nil"/>
              <w:bottom w:val="single" w:color="000000" w:sz="8" w:space="0"/>
              <w:right w:val="single" w:color="000000" w:sz="12" w:space="0"/>
            </w:tcBorders>
            <w:shd w:val="clear" w:color="auto" w:fill="auto"/>
            <w:tcMar>
              <w:top w:w="15" w:type="dxa"/>
              <w:left w:w="15" w:type="dxa"/>
              <w:bottom w:w="15" w:type="dxa"/>
              <w:right w:w="15" w:type="dxa"/>
            </w:tcMar>
            <w:vAlign w:val="center"/>
          </w:tcPr>
          <w:p>
            <w:pPr>
              <w:widowControl/>
              <w:spacing w:line="560" w:lineRule="atLeast"/>
              <w:jc w:val="center"/>
              <w:rPr>
                <w:rFonts w:ascii="仿宋" w:hAnsi="仿宋" w:eastAsia="仿宋" w:cs="宋体"/>
                <w:kern w:val="0"/>
                <w:sz w:val="24"/>
                <w:szCs w:val="24"/>
              </w:rPr>
            </w:pPr>
          </w:p>
        </w:tc>
      </w:tr>
      <w:tr>
        <w:tblPrEx>
          <w:tblCellMar>
            <w:top w:w="0" w:type="dxa"/>
            <w:left w:w="0" w:type="dxa"/>
            <w:bottom w:w="0" w:type="dxa"/>
            <w:right w:w="0" w:type="dxa"/>
          </w:tblCellMar>
        </w:tblPrEx>
        <w:trPr>
          <w:trHeight w:val="510" w:hRule="atLeast"/>
          <w:jc w:val="center"/>
        </w:trPr>
        <w:tc>
          <w:tcPr>
            <w:tcW w:w="1168" w:type="dxa"/>
            <w:tcBorders>
              <w:top w:val="nil"/>
              <w:left w:val="single" w:color="000000" w:sz="12" w:space="0"/>
              <w:bottom w:val="single" w:color="000000" w:sz="8" w:space="0"/>
              <w:right w:val="single" w:color="000000" w:sz="8" w:space="0"/>
            </w:tcBorders>
            <w:shd w:val="clear" w:color="auto" w:fill="auto"/>
            <w:tcMar>
              <w:top w:w="15" w:type="dxa"/>
              <w:left w:w="15" w:type="dxa"/>
              <w:bottom w:w="15" w:type="dxa"/>
              <w:right w:w="15" w:type="dxa"/>
            </w:tcMar>
            <w:vAlign w:val="center"/>
          </w:tcPr>
          <w:p>
            <w:pPr>
              <w:widowControl/>
              <w:spacing w:line="560" w:lineRule="atLeast"/>
              <w:jc w:val="center"/>
              <w:rPr>
                <w:rFonts w:ascii="仿宋" w:hAnsi="仿宋" w:eastAsia="仿宋" w:cs="宋体"/>
                <w:kern w:val="0"/>
                <w:sz w:val="24"/>
                <w:szCs w:val="24"/>
              </w:rPr>
            </w:pPr>
          </w:p>
        </w:tc>
        <w:tc>
          <w:tcPr>
            <w:tcW w:w="2708"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widowControl/>
              <w:spacing w:line="560" w:lineRule="atLeast"/>
              <w:jc w:val="center"/>
              <w:rPr>
                <w:rFonts w:ascii="仿宋" w:hAnsi="仿宋" w:eastAsia="仿宋" w:cs="宋体"/>
                <w:kern w:val="0"/>
                <w:sz w:val="24"/>
                <w:szCs w:val="24"/>
              </w:rPr>
            </w:pPr>
          </w:p>
        </w:tc>
        <w:tc>
          <w:tcPr>
            <w:tcW w:w="1277" w:type="dxa"/>
            <w:gridSpan w:val="4"/>
            <w:tcBorders>
              <w:top w:val="nil"/>
              <w:left w:val="nil"/>
              <w:bottom w:val="single" w:color="000000" w:sz="8" w:space="0"/>
              <w:right w:val="single" w:color="auto" w:sz="8" w:space="0"/>
            </w:tcBorders>
            <w:shd w:val="clear" w:color="auto" w:fill="auto"/>
            <w:tcMar>
              <w:top w:w="15" w:type="dxa"/>
              <w:left w:w="15" w:type="dxa"/>
              <w:bottom w:w="15" w:type="dxa"/>
              <w:right w:w="15" w:type="dxa"/>
            </w:tcMar>
            <w:vAlign w:val="center"/>
          </w:tcPr>
          <w:p>
            <w:pPr>
              <w:widowControl/>
              <w:spacing w:line="560" w:lineRule="atLeast"/>
              <w:jc w:val="center"/>
              <w:rPr>
                <w:rFonts w:ascii="仿宋" w:hAnsi="仿宋" w:eastAsia="仿宋" w:cs="宋体"/>
                <w:kern w:val="0"/>
                <w:sz w:val="24"/>
                <w:szCs w:val="24"/>
              </w:rPr>
            </w:pPr>
          </w:p>
        </w:tc>
        <w:tc>
          <w:tcPr>
            <w:tcW w:w="200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widowControl/>
              <w:spacing w:line="560" w:lineRule="atLeast"/>
              <w:jc w:val="center"/>
              <w:rPr>
                <w:rFonts w:ascii="仿宋" w:hAnsi="仿宋" w:eastAsia="仿宋" w:cs="宋体"/>
                <w:kern w:val="0"/>
                <w:sz w:val="24"/>
                <w:szCs w:val="24"/>
              </w:rPr>
            </w:pPr>
          </w:p>
        </w:tc>
        <w:tc>
          <w:tcPr>
            <w:tcW w:w="6301"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widowControl/>
              <w:spacing w:line="560" w:lineRule="atLeast"/>
              <w:jc w:val="center"/>
              <w:rPr>
                <w:rFonts w:ascii="仿宋" w:hAnsi="仿宋" w:eastAsia="仿宋" w:cs="宋体"/>
                <w:kern w:val="0"/>
                <w:sz w:val="24"/>
                <w:szCs w:val="24"/>
              </w:rPr>
            </w:pPr>
          </w:p>
        </w:tc>
        <w:tc>
          <w:tcPr>
            <w:tcW w:w="952" w:type="dxa"/>
            <w:tcBorders>
              <w:top w:val="nil"/>
              <w:left w:val="nil"/>
              <w:bottom w:val="single" w:color="000000" w:sz="8" w:space="0"/>
              <w:right w:val="single" w:color="000000" w:sz="12" w:space="0"/>
            </w:tcBorders>
            <w:shd w:val="clear" w:color="auto" w:fill="auto"/>
            <w:tcMar>
              <w:top w:w="15" w:type="dxa"/>
              <w:left w:w="15" w:type="dxa"/>
              <w:bottom w:w="15" w:type="dxa"/>
              <w:right w:w="15" w:type="dxa"/>
            </w:tcMar>
            <w:vAlign w:val="center"/>
          </w:tcPr>
          <w:p>
            <w:pPr>
              <w:widowControl/>
              <w:spacing w:line="560" w:lineRule="atLeast"/>
              <w:jc w:val="center"/>
              <w:rPr>
                <w:rFonts w:ascii="仿宋" w:hAnsi="仿宋" w:eastAsia="仿宋" w:cs="宋体"/>
                <w:kern w:val="0"/>
                <w:sz w:val="24"/>
                <w:szCs w:val="24"/>
              </w:rPr>
            </w:pPr>
          </w:p>
        </w:tc>
      </w:tr>
      <w:tr>
        <w:tblPrEx>
          <w:tblCellMar>
            <w:top w:w="0" w:type="dxa"/>
            <w:left w:w="0" w:type="dxa"/>
            <w:bottom w:w="0" w:type="dxa"/>
            <w:right w:w="0" w:type="dxa"/>
          </w:tblCellMar>
        </w:tblPrEx>
        <w:trPr>
          <w:trHeight w:val="510" w:hRule="atLeast"/>
          <w:jc w:val="center"/>
        </w:trPr>
        <w:tc>
          <w:tcPr>
            <w:tcW w:w="14410" w:type="dxa"/>
            <w:gridSpan w:val="9"/>
            <w:shd w:val="clear" w:color="auto" w:fill="auto"/>
            <w:tcMar>
              <w:top w:w="15" w:type="dxa"/>
              <w:left w:w="15" w:type="dxa"/>
              <w:bottom w:w="15" w:type="dxa"/>
              <w:right w:w="15" w:type="dxa"/>
            </w:tcMar>
            <w:vAlign w:val="center"/>
          </w:tcPr>
          <w:p>
            <w:pPr>
              <w:widowControl/>
              <w:spacing w:line="560" w:lineRule="atLeast"/>
              <w:jc w:val="left"/>
              <w:rPr>
                <w:rFonts w:ascii="仿宋" w:hAnsi="仿宋" w:eastAsia="仿宋" w:cs="宋体"/>
                <w:kern w:val="0"/>
                <w:sz w:val="24"/>
                <w:szCs w:val="24"/>
              </w:rPr>
            </w:pPr>
            <w:r>
              <w:rPr>
                <w:rFonts w:hint="eastAsia" w:ascii="仿宋" w:hAnsi="仿宋" w:eastAsia="仿宋" w:cs="宋体"/>
                <w:kern w:val="0"/>
                <w:sz w:val="28"/>
                <w:szCs w:val="28"/>
              </w:rPr>
              <w:t>附件4</w:t>
            </w:r>
          </w:p>
        </w:tc>
      </w:tr>
      <w:tr>
        <w:tblPrEx>
          <w:tblCellMar>
            <w:top w:w="0" w:type="dxa"/>
            <w:left w:w="0" w:type="dxa"/>
            <w:bottom w:w="0" w:type="dxa"/>
            <w:right w:w="0" w:type="dxa"/>
          </w:tblCellMar>
        </w:tblPrEx>
        <w:trPr>
          <w:trHeight w:val="510" w:hRule="atLeast"/>
          <w:jc w:val="center"/>
        </w:trPr>
        <w:tc>
          <w:tcPr>
            <w:tcW w:w="14410" w:type="dxa"/>
            <w:gridSpan w:val="9"/>
            <w:shd w:val="clear" w:color="auto" w:fill="auto"/>
            <w:tcMar>
              <w:top w:w="15" w:type="dxa"/>
              <w:left w:w="15" w:type="dxa"/>
              <w:bottom w:w="15" w:type="dxa"/>
              <w:right w:w="15" w:type="dxa"/>
            </w:tcMar>
            <w:vAlign w:val="center"/>
          </w:tcPr>
          <w:p>
            <w:pPr>
              <w:widowControl/>
              <w:spacing w:line="560" w:lineRule="atLeast"/>
              <w:jc w:val="center"/>
              <w:textAlignment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免予行政强制事项清单</w:t>
            </w:r>
          </w:p>
        </w:tc>
      </w:tr>
      <w:tr>
        <w:tblPrEx>
          <w:tblCellMar>
            <w:top w:w="0" w:type="dxa"/>
            <w:left w:w="0" w:type="dxa"/>
            <w:bottom w:w="0" w:type="dxa"/>
            <w:right w:w="0" w:type="dxa"/>
          </w:tblCellMar>
        </w:tblPrEx>
        <w:trPr>
          <w:trHeight w:val="510" w:hRule="atLeast"/>
          <w:jc w:val="center"/>
        </w:trPr>
        <w:tc>
          <w:tcPr>
            <w:tcW w:w="3876" w:type="dxa"/>
            <w:gridSpan w:val="2"/>
            <w:shd w:val="clear" w:color="auto" w:fill="auto"/>
            <w:tcMar>
              <w:top w:w="15" w:type="dxa"/>
              <w:left w:w="15" w:type="dxa"/>
              <w:bottom w:w="15" w:type="dxa"/>
              <w:right w:w="15" w:type="dxa"/>
            </w:tcMar>
            <w:vAlign w:val="center"/>
          </w:tcPr>
          <w:p>
            <w:pPr>
              <w:widowControl/>
              <w:spacing w:line="560" w:lineRule="atLeast"/>
              <w:jc w:val="left"/>
              <w:textAlignment w:val="center"/>
              <w:rPr>
                <w:rFonts w:ascii="仿宋" w:hAnsi="仿宋" w:eastAsia="仿宋" w:cs="宋体"/>
                <w:kern w:val="0"/>
                <w:sz w:val="24"/>
                <w:szCs w:val="24"/>
              </w:rPr>
            </w:pPr>
            <w:r>
              <w:rPr>
                <w:rFonts w:hint="eastAsia" w:ascii="仿宋" w:hAnsi="仿宋" w:eastAsia="仿宋" w:cs="宋体"/>
                <w:kern w:val="0"/>
                <w:sz w:val="24"/>
                <w:szCs w:val="24"/>
              </w:rPr>
              <w:t>单位：（公章）</w:t>
            </w:r>
          </w:p>
        </w:tc>
        <w:tc>
          <w:tcPr>
            <w:tcW w:w="3281" w:type="dxa"/>
            <w:gridSpan w:val="5"/>
            <w:shd w:val="clear" w:color="auto" w:fill="auto"/>
            <w:tcMar>
              <w:top w:w="15" w:type="dxa"/>
              <w:left w:w="15" w:type="dxa"/>
              <w:bottom w:w="15" w:type="dxa"/>
              <w:right w:w="15" w:type="dxa"/>
            </w:tcMar>
            <w:vAlign w:val="center"/>
          </w:tcPr>
          <w:p>
            <w:pPr>
              <w:widowControl/>
              <w:spacing w:line="560" w:lineRule="atLeast"/>
              <w:jc w:val="center"/>
              <w:rPr>
                <w:rFonts w:ascii="仿宋" w:hAnsi="仿宋" w:eastAsia="仿宋" w:cs="宋体"/>
                <w:kern w:val="0"/>
                <w:sz w:val="24"/>
                <w:szCs w:val="24"/>
              </w:rPr>
            </w:pPr>
          </w:p>
        </w:tc>
        <w:tc>
          <w:tcPr>
            <w:tcW w:w="6301" w:type="dxa"/>
            <w:shd w:val="clear" w:color="auto" w:fill="auto"/>
            <w:tcMar>
              <w:top w:w="15" w:type="dxa"/>
              <w:left w:w="15" w:type="dxa"/>
              <w:bottom w:w="15" w:type="dxa"/>
              <w:right w:w="15" w:type="dxa"/>
            </w:tcMar>
            <w:vAlign w:val="center"/>
          </w:tcPr>
          <w:p>
            <w:pPr>
              <w:widowControl/>
              <w:spacing w:line="560" w:lineRule="atLeast"/>
              <w:jc w:val="center"/>
              <w:rPr>
                <w:rFonts w:ascii="仿宋" w:hAnsi="仿宋" w:eastAsia="仿宋" w:cs="宋体"/>
                <w:kern w:val="0"/>
                <w:sz w:val="24"/>
                <w:szCs w:val="24"/>
              </w:rPr>
            </w:pPr>
          </w:p>
        </w:tc>
        <w:tc>
          <w:tcPr>
            <w:tcW w:w="952" w:type="dxa"/>
            <w:shd w:val="clear" w:color="auto" w:fill="auto"/>
            <w:tcMar>
              <w:top w:w="15" w:type="dxa"/>
              <w:left w:w="15" w:type="dxa"/>
              <w:bottom w:w="15" w:type="dxa"/>
              <w:right w:w="15" w:type="dxa"/>
            </w:tcMar>
            <w:vAlign w:val="center"/>
          </w:tcPr>
          <w:p>
            <w:pPr>
              <w:widowControl/>
              <w:spacing w:line="560" w:lineRule="atLeast"/>
              <w:jc w:val="center"/>
              <w:rPr>
                <w:rFonts w:ascii="仿宋" w:hAnsi="仿宋" w:eastAsia="仿宋" w:cs="宋体"/>
                <w:kern w:val="0"/>
                <w:sz w:val="24"/>
                <w:szCs w:val="24"/>
              </w:rPr>
            </w:pPr>
          </w:p>
        </w:tc>
      </w:tr>
      <w:tr>
        <w:tblPrEx>
          <w:tblCellMar>
            <w:top w:w="0" w:type="dxa"/>
            <w:left w:w="0" w:type="dxa"/>
            <w:bottom w:w="0" w:type="dxa"/>
            <w:right w:w="0" w:type="dxa"/>
          </w:tblCellMar>
        </w:tblPrEx>
        <w:trPr>
          <w:trHeight w:val="510" w:hRule="atLeast"/>
          <w:jc w:val="center"/>
        </w:trPr>
        <w:tc>
          <w:tcPr>
            <w:tcW w:w="1168" w:type="dxa"/>
            <w:tcBorders>
              <w:top w:val="single" w:color="000000" w:sz="12" w:space="0"/>
              <w:left w:val="single" w:color="000000" w:sz="12" w:space="0"/>
              <w:bottom w:val="single" w:color="000000" w:sz="8" w:space="0"/>
              <w:right w:val="single" w:color="000000" w:sz="8" w:space="0"/>
            </w:tcBorders>
            <w:shd w:val="clear" w:color="auto" w:fill="auto"/>
            <w:tcMar>
              <w:top w:w="15" w:type="dxa"/>
              <w:left w:w="15" w:type="dxa"/>
              <w:bottom w:w="15" w:type="dxa"/>
              <w:right w:w="15" w:type="dxa"/>
            </w:tcMar>
            <w:vAlign w:val="center"/>
          </w:tcPr>
          <w:p>
            <w:pPr>
              <w:widowControl/>
              <w:spacing w:line="560" w:lineRule="atLeast"/>
              <w:jc w:val="center"/>
              <w:textAlignment w:val="center"/>
              <w:rPr>
                <w:rFonts w:ascii="黑体" w:hAnsi="黑体" w:eastAsia="黑体" w:cs="宋体"/>
                <w:kern w:val="0"/>
                <w:sz w:val="24"/>
                <w:szCs w:val="24"/>
              </w:rPr>
            </w:pPr>
            <w:r>
              <w:rPr>
                <w:rFonts w:hint="eastAsia" w:ascii="黑体" w:hAnsi="黑体" w:eastAsia="黑体" w:cs="宋体"/>
                <w:kern w:val="0"/>
                <w:sz w:val="24"/>
                <w:szCs w:val="24"/>
              </w:rPr>
              <w:t>序号</w:t>
            </w:r>
          </w:p>
        </w:tc>
        <w:tc>
          <w:tcPr>
            <w:tcW w:w="2708" w:type="dxa"/>
            <w:tcBorders>
              <w:top w:val="single" w:color="000000" w:sz="12" w:space="0"/>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widowControl/>
              <w:spacing w:line="560" w:lineRule="atLeast"/>
              <w:jc w:val="center"/>
              <w:textAlignment w:val="center"/>
              <w:rPr>
                <w:rFonts w:ascii="黑体" w:hAnsi="黑体" w:eastAsia="黑体" w:cs="宋体"/>
                <w:kern w:val="0"/>
                <w:sz w:val="24"/>
                <w:szCs w:val="24"/>
              </w:rPr>
            </w:pPr>
            <w:r>
              <w:rPr>
                <w:rFonts w:hint="eastAsia" w:ascii="黑体" w:hAnsi="黑体" w:eastAsia="黑体" w:cs="宋体"/>
                <w:kern w:val="0"/>
                <w:sz w:val="24"/>
                <w:szCs w:val="24"/>
              </w:rPr>
              <w:t>行政强制事项</w:t>
            </w:r>
          </w:p>
        </w:tc>
        <w:tc>
          <w:tcPr>
            <w:tcW w:w="1277" w:type="dxa"/>
            <w:gridSpan w:val="4"/>
            <w:tcBorders>
              <w:top w:val="single" w:color="000000" w:sz="12" w:space="0"/>
              <w:left w:val="nil"/>
              <w:bottom w:val="single" w:color="000000" w:sz="8" w:space="0"/>
              <w:right w:val="single" w:color="auto" w:sz="8" w:space="0"/>
            </w:tcBorders>
            <w:shd w:val="clear" w:color="auto" w:fill="auto"/>
            <w:tcMar>
              <w:top w:w="15" w:type="dxa"/>
              <w:left w:w="15" w:type="dxa"/>
              <w:bottom w:w="15" w:type="dxa"/>
              <w:right w:w="15" w:type="dxa"/>
            </w:tcMar>
            <w:vAlign w:val="center"/>
          </w:tcPr>
          <w:p>
            <w:pPr>
              <w:widowControl/>
              <w:spacing w:line="560" w:lineRule="atLeast"/>
              <w:jc w:val="center"/>
              <w:textAlignment w:val="center"/>
              <w:rPr>
                <w:rFonts w:ascii="黑体" w:hAnsi="黑体" w:eastAsia="黑体" w:cs="宋体"/>
                <w:kern w:val="0"/>
                <w:sz w:val="24"/>
                <w:szCs w:val="24"/>
              </w:rPr>
            </w:pPr>
            <w:r>
              <w:rPr>
                <w:rFonts w:hint="eastAsia" w:ascii="黑体" w:hAnsi="黑体" w:eastAsia="黑体" w:cs="宋体"/>
                <w:kern w:val="0"/>
                <w:sz w:val="24"/>
                <w:szCs w:val="24"/>
              </w:rPr>
              <w:t>实施机关</w:t>
            </w:r>
          </w:p>
        </w:tc>
        <w:tc>
          <w:tcPr>
            <w:tcW w:w="2004" w:type="dxa"/>
            <w:tcBorders>
              <w:top w:val="single" w:color="000000" w:sz="12" w:space="0"/>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widowControl/>
              <w:spacing w:line="560" w:lineRule="atLeast"/>
              <w:jc w:val="center"/>
              <w:textAlignment w:val="center"/>
              <w:rPr>
                <w:rFonts w:ascii="黑体" w:hAnsi="黑体" w:eastAsia="黑体" w:cs="宋体"/>
                <w:kern w:val="0"/>
                <w:sz w:val="24"/>
                <w:szCs w:val="24"/>
              </w:rPr>
            </w:pPr>
            <w:r>
              <w:rPr>
                <w:rFonts w:hint="eastAsia" w:ascii="黑体" w:hAnsi="黑体" w:eastAsia="黑体" w:cs="宋体"/>
                <w:kern w:val="0"/>
                <w:sz w:val="24"/>
                <w:szCs w:val="24"/>
              </w:rPr>
              <w:t>免予行政强制适用条件</w:t>
            </w:r>
          </w:p>
        </w:tc>
        <w:tc>
          <w:tcPr>
            <w:tcW w:w="6301" w:type="dxa"/>
            <w:tcBorders>
              <w:top w:val="single" w:color="000000" w:sz="12" w:space="0"/>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widowControl/>
              <w:spacing w:line="560" w:lineRule="atLeast"/>
              <w:jc w:val="center"/>
              <w:textAlignment w:val="center"/>
              <w:rPr>
                <w:rFonts w:ascii="黑体" w:hAnsi="黑体" w:eastAsia="黑体" w:cs="宋体"/>
                <w:kern w:val="0"/>
                <w:sz w:val="24"/>
                <w:szCs w:val="24"/>
              </w:rPr>
            </w:pPr>
            <w:r>
              <w:rPr>
                <w:rFonts w:hint="eastAsia" w:ascii="黑体" w:hAnsi="黑体" w:eastAsia="黑体" w:cs="宋体"/>
                <w:kern w:val="0"/>
                <w:sz w:val="24"/>
                <w:szCs w:val="24"/>
              </w:rPr>
              <w:t>法律依据</w:t>
            </w:r>
          </w:p>
        </w:tc>
        <w:tc>
          <w:tcPr>
            <w:tcW w:w="952" w:type="dxa"/>
            <w:tcBorders>
              <w:top w:val="single" w:color="000000" w:sz="12" w:space="0"/>
              <w:left w:val="nil"/>
              <w:bottom w:val="single" w:color="000000" w:sz="8" w:space="0"/>
              <w:right w:val="single" w:color="000000" w:sz="12" w:space="0"/>
            </w:tcBorders>
            <w:shd w:val="clear" w:color="auto" w:fill="auto"/>
            <w:tcMar>
              <w:top w:w="15" w:type="dxa"/>
              <w:left w:w="15" w:type="dxa"/>
              <w:bottom w:w="15" w:type="dxa"/>
              <w:right w:w="15" w:type="dxa"/>
            </w:tcMar>
            <w:vAlign w:val="center"/>
          </w:tcPr>
          <w:p>
            <w:pPr>
              <w:widowControl/>
              <w:spacing w:line="560" w:lineRule="atLeast"/>
              <w:jc w:val="center"/>
              <w:textAlignment w:val="center"/>
              <w:rPr>
                <w:rFonts w:ascii="黑体" w:hAnsi="黑体" w:eastAsia="黑体" w:cs="宋体"/>
                <w:kern w:val="0"/>
                <w:sz w:val="24"/>
                <w:szCs w:val="24"/>
              </w:rPr>
            </w:pPr>
            <w:r>
              <w:rPr>
                <w:rFonts w:hint="eastAsia" w:ascii="黑体" w:hAnsi="黑体" w:eastAsia="黑体" w:cs="宋体"/>
                <w:kern w:val="0"/>
                <w:sz w:val="24"/>
                <w:szCs w:val="24"/>
              </w:rPr>
              <w:t>备注</w:t>
            </w:r>
          </w:p>
        </w:tc>
      </w:tr>
      <w:tr>
        <w:tblPrEx>
          <w:tblCellMar>
            <w:top w:w="0" w:type="dxa"/>
            <w:left w:w="0" w:type="dxa"/>
            <w:bottom w:w="0" w:type="dxa"/>
            <w:right w:w="0" w:type="dxa"/>
          </w:tblCellMar>
        </w:tblPrEx>
        <w:trPr>
          <w:trHeight w:val="510" w:hRule="atLeast"/>
          <w:jc w:val="center"/>
        </w:trPr>
        <w:tc>
          <w:tcPr>
            <w:tcW w:w="1168" w:type="dxa"/>
            <w:tcBorders>
              <w:top w:val="nil"/>
              <w:left w:val="single" w:color="000000" w:sz="12" w:space="0"/>
              <w:bottom w:val="single" w:color="000000" w:sz="8" w:space="0"/>
              <w:right w:val="single" w:color="000000" w:sz="8" w:space="0"/>
            </w:tcBorders>
            <w:shd w:val="clear" w:color="auto" w:fill="auto"/>
            <w:tcMar>
              <w:top w:w="15" w:type="dxa"/>
              <w:left w:w="15" w:type="dxa"/>
              <w:bottom w:w="15" w:type="dxa"/>
              <w:right w:w="15" w:type="dxa"/>
            </w:tcMar>
            <w:vAlign w:val="center"/>
          </w:tcPr>
          <w:p>
            <w:pPr>
              <w:widowControl/>
              <w:spacing w:line="560" w:lineRule="atLeast"/>
              <w:jc w:val="center"/>
              <w:rPr>
                <w:rFonts w:ascii="仿宋" w:hAnsi="仿宋" w:eastAsia="仿宋" w:cs="宋体"/>
                <w:kern w:val="0"/>
                <w:sz w:val="24"/>
                <w:szCs w:val="24"/>
              </w:rPr>
            </w:pPr>
          </w:p>
        </w:tc>
        <w:tc>
          <w:tcPr>
            <w:tcW w:w="2708"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widowControl/>
              <w:spacing w:line="560" w:lineRule="atLeast"/>
              <w:jc w:val="center"/>
              <w:rPr>
                <w:rFonts w:hint="eastAsia" w:ascii="仿宋" w:hAnsi="仿宋" w:eastAsia="仿宋" w:cs="宋体"/>
                <w:kern w:val="0"/>
                <w:sz w:val="24"/>
                <w:szCs w:val="24"/>
                <w:lang w:eastAsia="zh-CN"/>
              </w:rPr>
            </w:pPr>
            <w:r>
              <w:rPr>
                <w:rFonts w:hint="eastAsia" w:ascii="仿宋" w:hAnsi="仿宋" w:eastAsia="仿宋" w:cs="宋体"/>
                <w:kern w:val="0"/>
                <w:sz w:val="24"/>
                <w:szCs w:val="24"/>
                <w:lang w:eastAsia="zh-CN"/>
              </w:rPr>
              <w:t>无</w:t>
            </w:r>
          </w:p>
        </w:tc>
        <w:tc>
          <w:tcPr>
            <w:tcW w:w="1277" w:type="dxa"/>
            <w:gridSpan w:val="4"/>
            <w:tcBorders>
              <w:top w:val="nil"/>
              <w:left w:val="nil"/>
              <w:bottom w:val="single" w:color="000000" w:sz="8" w:space="0"/>
              <w:right w:val="single" w:color="auto" w:sz="8" w:space="0"/>
            </w:tcBorders>
            <w:shd w:val="clear" w:color="auto" w:fill="auto"/>
            <w:tcMar>
              <w:top w:w="15" w:type="dxa"/>
              <w:left w:w="15" w:type="dxa"/>
              <w:bottom w:w="15" w:type="dxa"/>
              <w:right w:w="15" w:type="dxa"/>
            </w:tcMar>
            <w:vAlign w:val="center"/>
          </w:tcPr>
          <w:p>
            <w:pPr>
              <w:widowControl/>
              <w:spacing w:line="560" w:lineRule="atLeast"/>
              <w:jc w:val="center"/>
              <w:rPr>
                <w:rFonts w:ascii="仿宋" w:hAnsi="仿宋" w:eastAsia="仿宋" w:cs="宋体"/>
                <w:kern w:val="0"/>
                <w:sz w:val="24"/>
                <w:szCs w:val="24"/>
              </w:rPr>
            </w:pPr>
          </w:p>
        </w:tc>
        <w:tc>
          <w:tcPr>
            <w:tcW w:w="200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widowControl/>
              <w:spacing w:line="560" w:lineRule="atLeast"/>
              <w:jc w:val="center"/>
              <w:rPr>
                <w:rFonts w:ascii="仿宋" w:hAnsi="仿宋" w:eastAsia="仿宋" w:cs="宋体"/>
                <w:kern w:val="0"/>
                <w:sz w:val="24"/>
                <w:szCs w:val="24"/>
              </w:rPr>
            </w:pPr>
          </w:p>
        </w:tc>
        <w:tc>
          <w:tcPr>
            <w:tcW w:w="6301"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widowControl/>
              <w:spacing w:line="560" w:lineRule="atLeast"/>
              <w:jc w:val="center"/>
              <w:rPr>
                <w:rFonts w:ascii="仿宋" w:hAnsi="仿宋" w:eastAsia="仿宋" w:cs="宋体"/>
                <w:kern w:val="0"/>
                <w:sz w:val="24"/>
                <w:szCs w:val="24"/>
              </w:rPr>
            </w:pPr>
          </w:p>
        </w:tc>
        <w:tc>
          <w:tcPr>
            <w:tcW w:w="952" w:type="dxa"/>
            <w:tcBorders>
              <w:top w:val="nil"/>
              <w:left w:val="nil"/>
              <w:bottom w:val="single" w:color="000000" w:sz="8" w:space="0"/>
              <w:right w:val="single" w:color="000000" w:sz="12" w:space="0"/>
            </w:tcBorders>
            <w:shd w:val="clear" w:color="auto" w:fill="auto"/>
            <w:tcMar>
              <w:top w:w="15" w:type="dxa"/>
              <w:left w:w="15" w:type="dxa"/>
              <w:bottom w:w="15" w:type="dxa"/>
              <w:right w:w="15" w:type="dxa"/>
            </w:tcMar>
            <w:vAlign w:val="center"/>
          </w:tcPr>
          <w:p>
            <w:pPr>
              <w:widowControl/>
              <w:spacing w:line="560" w:lineRule="atLeast"/>
              <w:jc w:val="center"/>
              <w:rPr>
                <w:rFonts w:ascii="仿宋" w:hAnsi="仿宋" w:eastAsia="仿宋" w:cs="宋体"/>
                <w:kern w:val="0"/>
                <w:sz w:val="24"/>
                <w:szCs w:val="24"/>
              </w:rPr>
            </w:pPr>
          </w:p>
        </w:tc>
      </w:tr>
      <w:tr>
        <w:tblPrEx>
          <w:tblCellMar>
            <w:top w:w="0" w:type="dxa"/>
            <w:left w:w="0" w:type="dxa"/>
            <w:bottom w:w="0" w:type="dxa"/>
            <w:right w:w="0" w:type="dxa"/>
          </w:tblCellMar>
        </w:tblPrEx>
        <w:trPr>
          <w:trHeight w:val="510" w:hRule="atLeast"/>
          <w:jc w:val="center"/>
        </w:trPr>
        <w:tc>
          <w:tcPr>
            <w:tcW w:w="1168" w:type="dxa"/>
            <w:tcBorders>
              <w:top w:val="nil"/>
              <w:left w:val="single" w:color="000000" w:sz="12" w:space="0"/>
              <w:bottom w:val="single" w:color="000000" w:sz="8" w:space="0"/>
              <w:right w:val="single" w:color="000000" w:sz="8" w:space="0"/>
            </w:tcBorders>
            <w:shd w:val="clear" w:color="auto" w:fill="auto"/>
            <w:tcMar>
              <w:top w:w="15" w:type="dxa"/>
              <w:left w:w="15" w:type="dxa"/>
              <w:bottom w:w="15" w:type="dxa"/>
              <w:right w:w="15" w:type="dxa"/>
            </w:tcMar>
            <w:vAlign w:val="center"/>
          </w:tcPr>
          <w:p>
            <w:pPr>
              <w:widowControl/>
              <w:spacing w:line="560" w:lineRule="atLeast"/>
              <w:jc w:val="center"/>
              <w:rPr>
                <w:rFonts w:ascii="仿宋" w:hAnsi="仿宋" w:eastAsia="仿宋" w:cs="宋体"/>
                <w:kern w:val="0"/>
                <w:sz w:val="24"/>
                <w:szCs w:val="24"/>
              </w:rPr>
            </w:pPr>
          </w:p>
        </w:tc>
        <w:tc>
          <w:tcPr>
            <w:tcW w:w="2708"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widowControl/>
              <w:spacing w:line="560" w:lineRule="atLeast"/>
              <w:jc w:val="center"/>
              <w:rPr>
                <w:rFonts w:ascii="仿宋" w:hAnsi="仿宋" w:eastAsia="仿宋" w:cs="宋体"/>
                <w:kern w:val="0"/>
                <w:sz w:val="24"/>
                <w:szCs w:val="24"/>
              </w:rPr>
            </w:pPr>
          </w:p>
        </w:tc>
        <w:tc>
          <w:tcPr>
            <w:tcW w:w="1277" w:type="dxa"/>
            <w:gridSpan w:val="4"/>
            <w:tcBorders>
              <w:top w:val="nil"/>
              <w:left w:val="nil"/>
              <w:bottom w:val="single" w:color="000000" w:sz="8" w:space="0"/>
              <w:right w:val="single" w:color="auto" w:sz="8" w:space="0"/>
            </w:tcBorders>
            <w:shd w:val="clear" w:color="auto" w:fill="auto"/>
            <w:tcMar>
              <w:top w:w="15" w:type="dxa"/>
              <w:left w:w="15" w:type="dxa"/>
              <w:bottom w:w="15" w:type="dxa"/>
              <w:right w:w="15" w:type="dxa"/>
            </w:tcMar>
            <w:vAlign w:val="center"/>
          </w:tcPr>
          <w:p>
            <w:pPr>
              <w:widowControl/>
              <w:spacing w:line="560" w:lineRule="atLeast"/>
              <w:jc w:val="center"/>
              <w:rPr>
                <w:rFonts w:ascii="仿宋" w:hAnsi="仿宋" w:eastAsia="仿宋" w:cs="宋体"/>
                <w:kern w:val="0"/>
                <w:sz w:val="24"/>
                <w:szCs w:val="24"/>
              </w:rPr>
            </w:pPr>
          </w:p>
        </w:tc>
        <w:tc>
          <w:tcPr>
            <w:tcW w:w="200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widowControl/>
              <w:spacing w:line="560" w:lineRule="atLeast"/>
              <w:jc w:val="center"/>
              <w:rPr>
                <w:rFonts w:ascii="仿宋" w:hAnsi="仿宋" w:eastAsia="仿宋" w:cs="宋体"/>
                <w:kern w:val="0"/>
                <w:sz w:val="24"/>
                <w:szCs w:val="24"/>
              </w:rPr>
            </w:pPr>
          </w:p>
        </w:tc>
        <w:tc>
          <w:tcPr>
            <w:tcW w:w="6301"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widowControl/>
              <w:spacing w:line="560" w:lineRule="atLeast"/>
              <w:jc w:val="center"/>
              <w:rPr>
                <w:rFonts w:ascii="仿宋" w:hAnsi="仿宋" w:eastAsia="仿宋" w:cs="宋体"/>
                <w:kern w:val="0"/>
                <w:sz w:val="24"/>
                <w:szCs w:val="24"/>
              </w:rPr>
            </w:pPr>
          </w:p>
        </w:tc>
        <w:tc>
          <w:tcPr>
            <w:tcW w:w="952" w:type="dxa"/>
            <w:tcBorders>
              <w:top w:val="nil"/>
              <w:left w:val="nil"/>
              <w:bottom w:val="single" w:color="000000" w:sz="8" w:space="0"/>
              <w:right w:val="single" w:color="000000" w:sz="12" w:space="0"/>
            </w:tcBorders>
            <w:shd w:val="clear" w:color="auto" w:fill="auto"/>
            <w:tcMar>
              <w:top w:w="15" w:type="dxa"/>
              <w:left w:w="15" w:type="dxa"/>
              <w:bottom w:w="15" w:type="dxa"/>
              <w:right w:w="15" w:type="dxa"/>
            </w:tcMar>
            <w:vAlign w:val="center"/>
          </w:tcPr>
          <w:p>
            <w:pPr>
              <w:widowControl/>
              <w:spacing w:line="560" w:lineRule="atLeast"/>
              <w:jc w:val="center"/>
              <w:rPr>
                <w:rFonts w:ascii="仿宋" w:hAnsi="仿宋" w:eastAsia="仿宋" w:cs="宋体"/>
                <w:kern w:val="0"/>
                <w:sz w:val="24"/>
                <w:szCs w:val="24"/>
              </w:rPr>
            </w:pPr>
          </w:p>
        </w:tc>
      </w:tr>
      <w:tr>
        <w:tblPrEx>
          <w:tblCellMar>
            <w:top w:w="0" w:type="dxa"/>
            <w:left w:w="0" w:type="dxa"/>
            <w:bottom w:w="0" w:type="dxa"/>
            <w:right w:w="0" w:type="dxa"/>
          </w:tblCellMar>
        </w:tblPrEx>
        <w:trPr>
          <w:trHeight w:val="510" w:hRule="atLeast"/>
          <w:jc w:val="center"/>
        </w:trPr>
        <w:tc>
          <w:tcPr>
            <w:tcW w:w="1168" w:type="dxa"/>
            <w:tcBorders>
              <w:top w:val="nil"/>
              <w:left w:val="single" w:color="000000" w:sz="12" w:space="0"/>
              <w:bottom w:val="single" w:color="000000" w:sz="8" w:space="0"/>
              <w:right w:val="single" w:color="000000" w:sz="8" w:space="0"/>
            </w:tcBorders>
            <w:shd w:val="clear" w:color="auto" w:fill="auto"/>
            <w:tcMar>
              <w:top w:w="15" w:type="dxa"/>
              <w:left w:w="15" w:type="dxa"/>
              <w:bottom w:w="15" w:type="dxa"/>
              <w:right w:w="15" w:type="dxa"/>
            </w:tcMar>
            <w:vAlign w:val="center"/>
          </w:tcPr>
          <w:p>
            <w:pPr>
              <w:widowControl/>
              <w:spacing w:line="560" w:lineRule="atLeast"/>
              <w:jc w:val="center"/>
              <w:rPr>
                <w:rFonts w:ascii="仿宋" w:hAnsi="仿宋" w:eastAsia="仿宋" w:cs="宋体"/>
                <w:kern w:val="0"/>
                <w:sz w:val="24"/>
                <w:szCs w:val="24"/>
              </w:rPr>
            </w:pPr>
          </w:p>
        </w:tc>
        <w:tc>
          <w:tcPr>
            <w:tcW w:w="2708"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widowControl/>
              <w:spacing w:line="560" w:lineRule="atLeast"/>
              <w:jc w:val="center"/>
              <w:rPr>
                <w:rFonts w:ascii="仿宋" w:hAnsi="仿宋" w:eastAsia="仿宋" w:cs="宋体"/>
                <w:kern w:val="0"/>
                <w:sz w:val="24"/>
                <w:szCs w:val="24"/>
              </w:rPr>
            </w:pPr>
          </w:p>
        </w:tc>
        <w:tc>
          <w:tcPr>
            <w:tcW w:w="1277" w:type="dxa"/>
            <w:gridSpan w:val="4"/>
            <w:tcBorders>
              <w:top w:val="nil"/>
              <w:left w:val="nil"/>
              <w:bottom w:val="single" w:color="000000" w:sz="8" w:space="0"/>
              <w:right w:val="single" w:color="auto" w:sz="8" w:space="0"/>
            </w:tcBorders>
            <w:shd w:val="clear" w:color="auto" w:fill="auto"/>
            <w:tcMar>
              <w:top w:w="15" w:type="dxa"/>
              <w:left w:w="15" w:type="dxa"/>
              <w:bottom w:w="15" w:type="dxa"/>
              <w:right w:w="15" w:type="dxa"/>
            </w:tcMar>
            <w:vAlign w:val="center"/>
          </w:tcPr>
          <w:p>
            <w:pPr>
              <w:widowControl/>
              <w:spacing w:line="560" w:lineRule="atLeast"/>
              <w:jc w:val="center"/>
              <w:rPr>
                <w:rFonts w:ascii="仿宋" w:hAnsi="仿宋" w:eastAsia="仿宋" w:cs="宋体"/>
                <w:kern w:val="0"/>
                <w:sz w:val="24"/>
                <w:szCs w:val="24"/>
              </w:rPr>
            </w:pPr>
          </w:p>
        </w:tc>
        <w:tc>
          <w:tcPr>
            <w:tcW w:w="200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widowControl/>
              <w:spacing w:line="560" w:lineRule="atLeast"/>
              <w:jc w:val="center"/>
              <w:rPr>
                <w:rFonts w:ascii="仿宋" w:hAnsi="仿宋" w:eastAsia="仿宋" w:cs="宋体"/>
                <w:kern w:val="0"/>
                <w:sz w:val="24"/>
                <w:szCs w:val="24"/>
              </w:rPr>
            </w:pPr>
          </w:p>
        </w:tc>
        <w:tc>
          <w:tcPr>
            <w:tcW w:w="6301"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widowControl/>
              <w:spacing w:line="560" w:lineRule="atLeast"/>
              <w:jc w:val="center"/>
              <w:rPr>
                <w:rFonts w:ascii="仿宋" w:hAnsi="仿宋" w:eastAsia="仿宋" w:cs="宋体"/>
                <w:kern w:val="0"/>
                <w:sz w:val="24"/>
                <w:szCs w:val="24"/>
              </w:rPr>
            </w:pPr>
          </w:p>
        </w:tc>
        <w:tc>
          <w:tcPr>
            <w:tcW w:w="952" w:type="dxa"/>
            <w:tcBorders>
              <w:top w:val="nil"/>
              <w:left w:val="nil"/>
              <w:bottom w:val="single" w:color="000000" w:sz="8" w:space="0"/>
              <w:right w:val="single" w:color="000000" w:sz="12" w:space="0"/>
            </w:tcBorders>
            <w:shd w:val="clear" w:color="auto" w:fill="auto"/>
            <w:tcMar>
              <w:top w:w="15" w:type="dxa"/>
              <w:left w:w="15" w:type="dxa"/>
              <w:bottom w:w="15" w:type="dxa"/>
              <w:right w:w="15" w:type="dxa"/>
            </w:tcMar>
            <w:vAlign w:val="center"/>
          </w:tcPr>
          <w:p>
            <w:pPr>
              <w:widowControl/>
              <w:spacing w:line="560" w:lineRule="atLeast"/>
              <w:jc w:val="center"/>
              <w:rPr>
                <w:rFonts w:ascii="仿宋" w:hAnsi="仿宋" w:eastAsia="仿宋" w:cs="宋体"/>
                <w:kern w:val="0"/>
                <w:sz w:val="24"/>
                <w:szCs w:val="24"/>
              </w:rPr>
            </w:pPr>
          </w:p>
        </w:tc>
      </w:tr>
      <w:tr>
        <w:tblPrEx>
          <w:tblCellMar>
            <w:top w:w="0" w:type="dxa"/>
            <w:left w:w="0" w:type="dxa"/>
            <w:bottom w:w="0" w:type="dxa"/>
            <w:right w:w="0" w:type="dxa"/>
          </w:tblCellMar>
        </w:tblPrEx>
        <w:trPr>
          <w:trHeight w:val="510" w:hRule="atLeast"/>
          <w:jc w:val="center"/>
        </w:trPr>
        <w:tc>
          <w:tcPr>
            <w:tcW w:w="1168" w:type="dxa"/>
            <w:tcBorders>
              <w:top w:val="nil"/>
              <w:left w:val="single" w:color="000000" w:sz="12" w:space="0"/>
              <w:bottom w:val="single" w:color="000000" w:sz="8" w:space="0"/>
              <w:right w:val="single" w:color="000000" w:sz="8" w:space="0"/>
            </w:tcBorders>
            <w:shd w:val="clear" w:color="auto" w:fill="auto"/>
            <w:tcMar>
              <w:top w:w="15" w:type="dxa"/>
              <w:left w:w="15" w:type="dxa"/>
              <w:bottom w:w="15" w:type="dxa"/>
              <w:right w:w="15" w:type="dxa"/>
            </w:tcMar>
            <w:vAlign w:val="center"/>
          </w:tcPr>
          <w:p>
            <w:pPr>
              <w:widowControl/>
              <w:spacing w:line="560" w:lineRule="atLeast"/>
              <w:jc w:val="center"/>
              <w:rPr>
                <w:rFonts w:ascii="仿宋" w:hAnsi="仿宋" w:eastAsia="仿宋" w:cs="宋体"/>
                <w:kern w:val="0"/>
                <w:sz w:val="24"/>
                <w:szCs w:val="24"/>
              </w:rPr>
            </w:pPr>
          </w:p>
        </w:tc>
        <w:tc>
          <w:tcPr>
            <w:tcW w:w="2708"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widowControl/>
              <w:spacing w:line="560" w:lineRule="atLeast"/>
              <w:jc w:val="center"/>
              <w:rPr>
                <w:rFonts w:ascii="仿宋" w:hAnsi="仿宋" w:eastAsia="仿宋" w:cs="宋体"/>
                <w:kern w:val="0"/>
                <w:sz w:val="24"/>
                <w:szCs w:val="24"/>
              </w:rPr>
            </w:pPr>
          </w:p>
        </w:tc>
        <w:tc>
          <w:tcPr>
            <w:tcW w:w="1277" w:type="dxa"/>
            <w:gridSpan w:val="4"/>
            <w:tcBorders>
              <w:top w:val="nil"/>
              <w:left w:val="nil"/>
              <w:bottom w:val="single" w:color="000000" w:sz="8" w:space="0"/>
              <w:right w:val="single" w:color="auto" w:sz="8" w:space="0"/>
            </w:tcBorders>
            <w:shd w:val="clear" w:color="auto" w:fill="auto"/>
            <w:tcMar>
              <w:top w:w="15" w:type="dxa"/>
              <w:left w:w="15" w:type="dxa"/>
              <w:bottom w:w="15" w:type="dxa"/>
              <w:right w:w="15" w:type="dxa"/>
            </w:tcMar>
            <w:vAlign w:val="center"/>
          </w:tcPr>
          <w:p>
            <w:pPr>
              <w:widowControl/>
              <w:spacing w:line="560" w:lineRule="atLeast"/>
              <w:jc w:val="center"/>
              <w:rPr>
                <w:rFonts w:ascii="仿宋" w:hAnsi="仿宋" w:eastAsia="仿宋" w:cs="宋体"/>
                <w:kern w:val="0"/>
                <w:sz w:val="24"/>
                <w:szCs w:val="24"/>
              </w:rPr>
            </w:pPr>
          </w:p>
        </w:tc>
        <w:tc>
          <w:tcPr>
            <w:tcW w:w="200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widowControl/>
              <w:spacing w:line="560" w:lineRule="atLeast"/>
              <w:jc w:val="center"/>
              <w:rPr>
                <w:rFonts w:ascii="仿宋" w:hAnsi="仿宋" w:eastAsia="仿宋" w:cs="宋体"/>
                <w:kern w:val="0"/>
                <w:sz w:val="24"/>
                <w:szCs w:val="24"/>
              </w:rPr>
            </w:pPr>
          </w:p>
        </w:tc>
        <w:tc>
          <w:tcPr>
            <w:tcW w:w="6301"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widowControl/>
              <w:spacing w:line="560" w:lineRule="atLeast"/>
              <w:jc w:val="center"/>
              <w:rPr>
                <w:rFonts w:ascii="仿宋" w:hAnsi="仿宋" w:eastAsia="仿宋" w:cs="宋体"/>
                <w:kern w:val="0"/>
                <w:sz w:val="24"/>
                <w:szCs w:val="24"/>
              </w:rPr>
            </w:pPr>
          </w:p>
        </w:tc>
        <w:tc>
          <w:tcPr>
            <w:tcW w:w="952" w:type="dxa"/>
            <w:tcBorders>
              <w:top w:val="nil"/>
              <w:left w:val="nil"/>
              <w:bottom w:val="single" w:color="000000" w:sz="8" w:space="0"/>
              <w:right w:val="single" w:color="000000" w:sz="12" w:space="0"/>
            </w:tcBorders>
            <w:shd w:val="clear" w:color="auto" w:fill="auto"/>
            <w:tcMar>
              <w:top w:w="15" w:type="dxa"/>
              <w:left w:w="15" w:type="dxa"/>
              <w:bottom w:w="15" w:type="dxa"/>
              <w:right w:w="15" w:type="dxa"/>
            </w:tcMar>
            <w:vAlign w:val="center"/>
          </w:tcPr>
          <w:p>
            <w:pPr>
              <w:widowControl/>
              <w:spacing w:line="560" w:lineRule="atLeast"/>
              <w:jc w:val="center"/>
              <w:rPr>
                <w:rFonts w:ascii="仿宋" w:hAnsi="仿宋" w:eastAsia="仿宋" w:cs="宋体"/>
                <w:kern w:val="0"/>
                <w:sz w:val="24"/>
                <w:szCs w:val="24"/>
              </w:rPr>
            </w:pPr>
          </w:p>
        </w:tc>
      </w:tr>
      <w:tr>
        <w:tblPrEx>
          <w:tblCellMar>
            <w:top w:w="0" w:type="dxa"/>
            <w:left w:w="0" w:type="dxa"/>
            <w:bottom w:w="0" w:type="dxa"/>
            <w:right w:w="0" w:type="dxa"/>
          </w:tblCellMar>
        </w:tblPrEx>
        <w:trPr>
          <w:trHeight w:val="510" w:hRule="atLeast"/>
          <w:jc w:val="center"/>
        </w:trPr>
        <w:tc>
          <w:tcPr>
            <w:tcW w:w="1168" w:type="dxa"/>
            <w:tcBorders>
              <w:top w:val="nil"/>
              <w:left w:val="single" w:color="000000" w:sz="12" w:space="0"/>
              <w:bottom w:val="single" w:color="000000" w:sz="8" w:space="0"/>
              <w:right w:val="single" w:color="000000" w:sz="8" w:space="0"/>
            </w:tcBorders>
            <w:shd w:val="clear" w:color="auto" w:fill="auto"/>
            <w:tcMar>
              <w:top w:w="15" w:type="dxa"/>
              <w:left w:w="15" w:type="dxa"/>
              <w:bottom w:w="15" w:type="dxa"/>
              <w:right w:w="15" w:type="dxa"/>
            </w:tcMar>
            <w:vAlign w:val="center"/>
          </w:tcPr>
          <w:p>
            <w:pPr>
              <w:widowControl/>
              <w:spacing w:line="560" w:lineRule="atLeast"/>
              <w:jc w:val="center"/>
              <w:rPr>
                <w:rFonts w:ascii="仿宋" w:hAnsi="仿宋" w:eastAsia="仿宋" w:cs="宋体"/>
                <w:kern w:val="0"/>
                <w:sz w:val="24"/>
                <w:szCs w:val="24"/>
              </w:rPr>
            </w:pPr>
          </w:p>
        </w:tc>
        <w:tc>
          <w:tcPr>
            <w:tcW w:w="2708"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widowControl/>
              <w:spacing w:line="560" w:lineRule="atLeast"/>
              <w:jc w:val="center"/>
              <w:rPr>
                <w:rFonts w:ascii="仿宋" w:hAnsi="仿宋" w:eastAsia="仿宋" w:cs="宋体"/>
                <w:kern w:val="0"/>
                <w:sz w:val="24"/>
                <w:szCs w:val="24"/>
              </w:rPr>
            </w:pPr>
          </w:p>
        </w:tc>
        <w:tc>
          <w:tcPr>
            <w:tcW w:w="1277" w:type="dxa"/>
            <w:gridSpan w:val="4"/>
            <w:tcBorders>
              <w:top w:val="nil"/>
              <w:left w:val="nil"/>
              <w:bottom w:val="single" w:color="000000" w:sz="8" w:space="0"/>
              <w:right w:val="single" w:color="auto" w:sz="8" w:space="0"/>
            </w:tcBorders>
            <w:shd w:val="clear" w:color="auto" w:fill="auto"/>
            <w:tcMar>
              <w:top w:w="15" w:type="dxa"/>
              <w:left w:w="15" w:type="dxa"/>
              <w:bottom w:w="15" w:type="dxa"/>
              <w:right w:w="15" w:type="dxa"/>
            </w:tcMar>
            <w:vAlign w:val="center"/>
          </w:tcPr>
          <w:p>
            <w:pPr>
              <w:widowControl/>
              <w:spacing w:line="560" w:lineRule="atLeast"/>
              <w:jc w:val="center"/>
              <w:rPr>
                <w:rFonts w:ascii="仿宋" w:hAnsi="仿宋" w:eastAsia="仿宋" w:cs="宋体"/>
                <w:kern w:val="0"/>
                <w:sz w:val="24"/>
                <w:szCs w:val="24"/>
              </w:rPr>
            </w:pPr>
          </w:p>
        </w:tc>
        <w:tc>
          <w:tcPr>
            <w:tcW w:w="200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widowControl/>
              <w:spacing w:line="560" w:lineRule="atLeast"/>
              <w:jc w:val="center"/>
              <w:rPr>
                <w:rFonts w:ascii="仿宋" w:hAnsi="仿宋" w:eastAsia="仿宋" w:cs="宋体"/>
                <w:kern w:val="0"/>
                <w:sz w:val="24"/>
                <w:szCs w:val="24"/>
              </w:rPr>
            </w:pPr>
          </w:p>
        </w:tc>
        <w:tc>
          <w:tcPr>
            <w:tcW w:w="6301"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widowControl/>
              <w:spacing w:line="560" w:lineRule="atLeast"/>
              <w:jc w:val="center"/>
              <w:rPr>
                <w:rFonts w:ascii="仿宋" w:hAnsi="仿宋" w:eastAsia="仿宋" w:cs="宋体"/>
                <w:kern w:val="0"/>
                <w:sz w:val="24"/>
                <w:szCs w:val="24"/>
              </w:rPr>
            </w:pPr>
          </w:p>
        </w:tc>
        <w:tc>
          <w:tcPr>
            <w:tcW w:w="952" w:type="dxa"/>
            <w:tcBorders>
              <w:top w:val="nil"/>
              <w:left w:val="nil"/>
              <w:bottom w:val="single" w:color="000000" w:sz="8" w:space="0"/>
              <w:right w:val="single" w:color="000000" w:sz="12" w:space="0"/>
            </w:tcBorders>
            <w:shd w:val="clear" w:color="auto" w:fill="auto"/>
            <w:tcMar>
              <w:top w:w="15" w:type="dxa"/>
              <w:left w:w="15" w:type="dxa"/>
              <w:bottom w:w="15" w:type="dxa"/>
              <w:right w:w="15" w:type="dxa"/>
            </w:tcMar>
            <w:vAlign w:val="center"/>
          </w:tcPr>
          <w:p>
            <w:pPr>
              <w:widowControl/>
              <w:spacing w:line="560" w:lineRule="atLeast"/>
              <w:jc w:val="center"/>
              <w:rPr>
                <w:rFonts w:ascii="仿宋" w:hAnsi="仿宋" w:eastAsia="仿宋" w:cs="宋体"/>
                <w:kern w:val="0"/>
                <w:sz w:val="24"/>
                <w:szCs w:val="24"/>
              </w:rPr>
            </w:pPr>
          </w:p>
        </w:tc>
      </w:tr>
      <w:tr>
        <w:tblPrEx>
          <w:tblCellMar>
            <w:top w:w="0" w:type="dxa"/>
            <w:left w:w="0" w:type="dxa"/>
            <w:bottom w:w="0" w:type="dxa"/>
            <w:right w:w="0" w:type="dxa"/>
          </w:tblCellMar>
        </w:tblPrEx>
        <w:trPr>
          <w:trHeight w:val="510" w:hRule="atLeast"/>
          <w:jc w:val="center"/>
        </w:trPr>
        <w:tc>
          <w:tcPr>
            <w:tcW w:w="1168" w:type="dxa"/>
            <w:tcBorders>
              <w:top w:val="nil"/>
              <w:left w:val="single" w:color="000000" w:sz="12" w:space="0"/>
              <w:bottom w:val="single" w:color="000000" w:sz="8" w:space="0"/>
              <w:right w:val="single" w:color="000000" w:sz="8" w:space="0"/>
            </w:tcBorders>
            <w:shd w:val="clear" w:color="auto" w:fill="auto"/>
            <w:tcMar>
              <w:top w:w="15" w:type="dxa"/>
              <w:left w:w="15" w:type="dxa"/>
              <w:bottom w:w="15" w:type="dxa"/>
              <w:right w:w="15" w:type="dxa"/>
            </w:tcMar>
            <w:vAlign w:val="center"/>
          </w:tcPr>
          <w:p>
            <w:pPr>
              <w:widowControl/>
              <w:spacing w:line="560" w:lineRule="atLeast"/>
              <w:jc w:val="center"/>
              <w:rPr>
                <w:rFonts w:ascii="仿宋" w:hAnsi="仿宋" w:eastAsia="仿宋" w:cs="宋体"/>
                <w:kern w:val="0"/>
                <w:sz w:val="24"/>
                <w:szCs w:val="24"/>
              </w:rPr>
            </w:pPr>
          </w:p>
        </w:tc>
        <w:tc>
          <w:tcPr>
            <w:tcW w:w="2708"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widowControl/>
              <w:spacing w:line="560" w:lineRule="atLeast"/>
              <w:jc w:val="center"/>
              <w:rPr>
                <w:rFonts w:ascii="仿宋" w:hAnsi="仿宋" w:eastAsia="仿宋" w:cs="宋体"/>
                <w:kern w:val="0"/>
                <w:sz w:val="24"/>
                <w:szCs w:val="24"/>
              </w:rPr>
            </w:pPr>
          </w:p>
        </w:tc>
        <w:tc>
          <w:tcPr>
            <w:tcW w:w="1277" w:type="dxa"/>
            <w:gridSpan w:val="4"/>
            <w:tcBorders>
              <w:top w:val="nil"/>
              <w:left w:val="nil"/>
              <w:bottom w:val="single" w:color="000000" w:sz="8" w:space="0"/>
              <w:right w:val="single" w:color="auto" w:sz="8" w:space="0"/>
            </w:tcBorders>
            <w:shd w:val="clear" w:color="auto" w:fill="auto"/>
            <w:tcMar>
              <w:top w:w="15" w:type="dxa"/>
              <w:left w:w="15" w:type="dxa"/>
              <w:bottom w:w="15" w:type="dxa"/>
              <w:right w:w="15" w:type="dxa"/>
            </w:tcMar>
            <w:vAlign w:val="center"/>
          </w:tcPr>
          <w:p>
            <w:pPr>
              <w:widowControl/>
              <w:spacing w:line="560" w:lineRule="atLeast"/>
              <w:jc w:val="center"/>
              <w:rPr>
                <w:rFonts w:ascii="仿宋" w:hAnsi="仿宋" w:eastAsia="仿宋" w:cs="宋体"/>
                <w:kern w:val="0"/>
                <w:sz w:val="24"/>
                <w:szCs w:val="24"/>
              </w:rPr>
            </w:pPr>
          </w:p>
        </w:tc>
        <w:tc>
          <w:tcPr>
            <w:tcW w:w="200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widowControl/>
              <w:spacing w:line="560" w:lineRule="atLeast"/>
              <w:jc w:val="center"/>
              <w:rPr>
                <w:rFonts w:ascii="仿宋" w:hAnsi="仿宋" w:eastAsia="仿宋" w:cs="宋体"/>
                <w:kern w:val="0"/>
                <w:sz w:val="24"/>
                <w:szCs w:val="24"/>
              </w:rPr>
            </w:pPr>
          </w:p>
        </w:tc>
        <w:tc>
          <w:tcPr>
            <w:tcW w:w="6301"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widowControl/>
              <w:spacing w:line="560" w:lineRule="atLeast"/>
              <w:jc w:val="center"/>
              <w:rPr>
                <w:rFonts w:ascii="仿宋" w:hAnsi="仿宋" w:eastAsia="仿宋" w:cs="宋体"/>
                <w:kern w:val="0"/>
                <w:sz w:val="24"/>
                <w:szCs w:val="24"/>
              </w:rPr>
            </w:pPr>
          </w:p>
        </w:tc>
        <w:tc>
          <w:tcPr>
            <w:tcW w:w="952" w:type="dxa"/>
            <w:tcBorders>
              <w:top w:val="nil"/>
              <w:left w:val="nil"/>
              <w:bottom w:val="single" w:color="000000" w:sz="8" w:space="0"/>
              <w:right w:val="single" w:color="000000" w:sz="12" w:space="0"/>
            </w:tcBorders>
            <w:shd w:val="clear" w:color="auto" w:fill="auto"/>
            <w:tcMar>
              <w:top w:w="15" w:type="dxa"/>
              <w:left w:w="15" w:type="dxa"/>
              <w:bottom w:w="15" w:type="dxa"/>
              <w:right w:w="15" w:type="dxa"/>
            </w:tcMar>
            <w:vAlign w:val="center"/>
          </w:tcPr>
          <w:p>
            <w:pPr>
              <w:widowControl/>
              <w:spacing w:line="560" w:lineRule="atLeast"/>
              <w:jc w:val="center"/>
              <w:rPr>
                <w:rFonts w:ascii="仿宋" w:hAnsi="仿宋" w:eastAsia="仿宋" w:cs="宋体"/>
                <w:kern w:val="0"/>
                <w:sz w:val="24"/>
                <w:szCs w:val="24"/>
              </w:rPr>
            </w:pPr>
          </w:p>
        </w:tc>
      </w:tr>
      <w:tr>
        <w:tblPrEx>
          <w:tblCellMar>
            <w:top w:w="0" w:type="dxa"/>
            <w:left w:w="0" w:type="dxa"/>
            <w:bottom w:w="0" w:type="dxa"/>
            <w:right w:w="0" w:type="dxa"/>
          </w:tblCellMar>
        </w:tblPrEx>
        <w:trPr>
          <w:trHeight w:val="510" w:hRule="atLeast"/>
          <w:jc w:val="center"/>
        </w:trPr>
        <w:tc>
          <w:tcPr>
            <w:tcW w:w="1168" w:type="dxa"/>
            <w:tcBorders>
              <w:top w:val="nil"/>
              <w:left w:val="single" w:color="000000" w:sz="12" w:space="0"/>
              <w:bottom w:val="single" w:color="000000" w:sz="8" w:space="0"/>
              <w:right w:val="single" w:color="000000" w:sz="8" w:space="0"/>
            </w:tcBorders>
            <w:shd w:val="clear" w:color="auto" w:fill="auto"/>
            <w:tcMar>
              <w:top w:w="15" w:type="dxa"/>
              <w:left w:w="15" w:type="dxa"/>
              <w:bottom w:w="15" w:type="dxa"/>
              <w:right w:w="15" w:type="dxa"/>
            </w:tcMar>
            <w:vAlign w:val="center"/>
          </w:tcPr>
          <w:p>
            <w:pPr>
              <w:widowControl/>
              <w:spacing w:line="560" w:lineRule="atLeast"/>
              <w:jc w:val="center"/>
              <w:rPr>
                <w:rFonts w:ascii="仿宋" w:hAnsi="仿宋" w:eastAsia="仿宋" w:cs="宋体"/>
                <w:kern w:val="0"/>
                <w:sz w:val="24"/>
                <w:szCs w:val="24"/>
              </w:rPr>
            </w:pPr>
          </w:p>
        </w:tc>
        <w:tc>
          <w:tcPr>
            <w:tcW w:w="2708"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widowControl/>
              <w:spacing w:line="560" w:lineRule="atLeast"/>
              <w:jc w:val="center"/>
              <w:rPr>
                <w:rFonts w:ascii="仿宋" w:hAnsi="仿宋" w:eastAsia="仿宋" w:cs="宋体"/>
                <w:kern w:val="0"/>
                <w:sz w:val="24"/>
                <w:szCs w:val="24"/>
              </w:rPr>
            </w:pPr>
          </w:p>
        </w:tc>
        <w:tc>
          <w:tcPr>
            <w:tcW w:w="1277" w:type="dxa"/>
            <w:gridSpan w:val="4"/>
            <w:tcBorders>
              <w:top w:val="nil"/>
              <w:left w:val="nil"/>
              <w:bottom w:val="single" w:color="000000" w:sz="8" w:space="0"/>
              <w:right w:val="single" w:color="auto" w:sz="8" w:space="0"/>
            </w:tcBorders>
            <w:shd w:val="clear" w:color="auto" w:fill="auto"/>
            <w:tcMar>
              <w:top w:w="15" w:type="dxa"/>
              <w:left w:w="15" w:type="dxa"/>
              <w:bottom w:w="15" w:type="dxa"/>
              <w:right w:w="15" w:type="dxa"/>
            </w:tcMar>
            <w:vAlign w:val="center"/>
          </w:tcPr>
          <w:p>
            <w:pPr>
              <w:widowControl/>
              <w:spacing w:line="560" w:lineRule="atLeast"/>
              <w:jc w:val="center"/>
              <w:rPr>
                <w:rFonts w:ascii="仿宋" w:hAnsi="仿宋" w:eastAsia="仿宋" w:cs="宋体"/>
                <w:kern w:val="0"/>
                <w:sz w:val="24"/>
                <w:szCs w:val="24"/>
              </w:rPr>
            </w:pPr>
          </w:p>
        </w:tc>
        <w:tc>
          <w:tcPr>
            <w:tcW w:w="200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widowControl/>
              <w:spacing w:line="560" w:lineRule="atLeast"/>
              <w:jc w:val="center"/>
              <w:rPr>
                <w:rFonts w:ascii="仿宋" w:hAnsi="仿宋" w:eastAsia="仿宋" w:cs="宋体"/>
                <w:kern w:val="0"/>
                <w:sz w:val="24"/>
                <w:szCs w:val="24"/>
              </w:rPr>
            </w:pPr>
          </w:p>
        </w:tc>
        <w:tc>
          <w:tcPr>
            <w:tcW w:w="6301"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widowControl/>
              <w:spacing w:line="560" w:lineRule="atLeast"/>
              <w:jc w:val="center"/>
              <w:rPr>
                <w:rFonts w:ascii="仿宋" w:hAnsi="仿宋" w:eastAsia="仿宋" w:cs="宋体"/>
                <w:kern w:val="0"/>
                <w:sz w:val="24"/>
                <w:szCs w:val="24"/>
              </w:rPr>
            </w:pPr>
          </w:p>
        </w:tc>
        <w:tc>
          <w:tcPr>
            <w:tcW w:w="952" w:type="dxa"/>
            <w:tcBorders>
              <w:top w:val="nil"/>
              <w:left w:val="nil"/>
              <w:bottom w:val="single" w:color="000000" w:sz="8" w:space="0"/>
              <w:right w:val="single" w:color="000000" w:sz="12" w:space="0"/>
            </w:tcBorders>
            <w:shd w:val="clear" w:color="auto" w:fill="auto"/>
            <w:tcMar>
              <w:top w:w="15" w:type="dxa"/>
              <w:left w:w="15" w:type="dxa"/>
              <w:bottom w:w="15" w:type="dxa"/>
              <w:right w:w="15" w:type="dxa"/>
            </w:tcMar>
            <w:vAlign w:val="center"/>
          </w:tcPr>
          <w:p>
            <w:pPr>
              <w:widowControl/>
              <w:spacing w:line="560" w:lineRule="atLeast"/>
              <w:jc w:val="center"/>
              <w:rPr>
                <w:rFonts w:ascii="仿宋" w:hAnsi="仿宋" w:eastAsia="仿宋" w:cs="宋体"/>
                <w:kern w:val="0"/>
                <w:sz w:val="24"/>
                <w:szCs w:val="24"/>
              </w:rPr>
            </w:pPr>
          </w:p>
        </w:tc>
      </w:tr>
      <w:tr>
        <w:tblPrEx>
          <w:tblCellMar>
            <w:top w:w="0" w:type="dxa"/>
            <w:left w:w="0" w:type="dxa"/>
            <w:bottom w:w="0" w:type="dxa"/>
            <w:right w:w="0" w:type="dxa"/>
          </w:tblCellMar>
        </w:tblPrEx>
        <w:trPr>
          <w:trHeight w:val="510" w:hRule="atLeast"/>
          <w:jc w:val="center"/>
        </w:trPr>
        <w:tc>
          <w:tcPr>
            <w:tcW w:w="1168" w:type="dxa"/>
            <w:tcBorders>
              <w:top w:val="nil"/>
              <w:left w:val="single" w:color="000000" w:sz="12" w:space="0"/>
              <w:bottom w:val="single" w:color="000000" w:sz="8" w:space="0"/>
              <w:right w:val="single" w:color="000000" w:sz="8" w:space="0"/>
            </w:tcBorders>
            <w:shd w:val="clear" w:color="auto" w:fill="auto"/>
            <w:tcMar>
              <w:top w:w="15" w:type="dxa"/>
              <w:left w:w="15" w:type="dxa"/>
              <w:bottom w:w="15" w:type="dxa"/>
              <w:right w:w="15" w:type="dxa"/>
            </w:tcMar>
            <w:vAlign w:val="center"/>
          </w:tcPr>
          <w:p>
            <w:pPr>
              <w:widowControl/>
              <w:spacing w:line="560" w:lineRule="atLeast"/>
              <w:jc w:val="center"/>
              <w:rPr>
                <w:rFonts w:ascii="仿宋" w:hAnsi="仿宋" w:eastAsia="仿宋" w:cs="宋体"/>
                <w:kern w:val="0"/>
                <w:sz w:val="24"/>
                <w:szCs w:val="24"/>
              </w:rPr>
            </w:pPr>
          </w:p>
        </w:tc>
        <w:tc>
          <w:tcPr>
            <w:tcW w:w="2708"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widowControl/>
              <w:spacing w:line="560" w:lineRule="atLeast"/>
              <w:jc w:val="center"/>
              <w:rPr>
                <w:rFonts w:ascii="仿宋" w:hAnsi="仿宋" w:eastAsia="仿宋" w:cs="宋体"/>
                <w:kern w:val="0"/>
                <w:sz w:val="24"/>
                <w:szCs w:val="24"/>
              </w:rPr>
            </w:pPr>
          </w:p>
        </w:tc>
        <w:tc>
          <w:tcPr>
            <w:tcW w:w="1277" w:type="dxa"/>
            <w:gridSpan w:val="4"/>
            <w:tcBorders>
              <w:top w:val="nil"/>
              <w:left w:val="nil"/>
              <w:bottom w:val="single" w:color="000000" w:sz="8" w:space="0"/>
              <w:right w:val="single" w:color="auto" w:sz="8" w:space="0"/>
            </w:tcBorders>
            <w:shd w:val="clear" w:color="auto" w:fill="auto"/>
            <w:tcMar>
              <w:top w:w="15" w:type="dxa"/>
              <w:left w:w="15" w:type="dxa"/>
              <w:bottom w:w="15" w:type="dxa"/>
              <w:right w:w="15" w:type="dxa"/>
            </w:tcMar>
            <w:vAlign w:val="center"/>
          </w:tcPr>
          <w:p>
            <w:pPr>
              <w:widowControl/>
              <w:spacing w:line="560" w:lineRule="atLeast"/>
              <w:jc w:val="center"/>
              <w:rPr>
                <w:rFonts w:ascii="仿宋" w:hAnsi="仿宋" w:eastAsia="仿宋" w:cs="宋体"/>
                <w:kern w:val="0"/>
                <w:sz w:val="24"/>
                <w:szCs w:val="24"/>
              </w:rPr>
            </w:pPr>
          </w:p>
        </w:tc>
        <w:tc>
          <w:tcPr>
            <w:tcW w:w="200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widowControl/>
              <w:spacing w:line="560" w:lineRule="atLeast"/>
              <w:jc w:val="center"/>
              <w:rPr>
                <w:rFonts w:ascii="仿宋" w:hAnsi="仿宋" w:eastAsia="仿宋" w:cs="宋体"/>
                <w:kern w:val="0"/>
                <w:sz w:val="24"/>
                <w:szCs w:val="24"/>
              </w:rPr>
            </w:pPr>
          </w:p>
        </w:tc>
        <w:tc>
          <w:tcPr>
            <w:tcW w:w="6301"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widowControl/>
              <w:spacing w:line="560" w:lineRule="atLeast"/>
              <w:jc w:val="center"/>
              <w:rPr>
                <w:rFonts w:ascii="仿宋" w:hAnsi="仿宋" w:eastAsia="仿宋" w:cs="宋体"/>
                <w:kern w:val="0"/>
                <w:sz w:val="24"/>
                <w:szCs w:val="24"/>
              </w:rPr>
            </w:pPr>
          </w:p>
        </w:tc>
        <w:tc>
          <w:tcPr>
            <w:tcW w:w="952" w:type="dxa"/>
            <w:tcBorders>
              <w:top w:val="nil"/>
              <w:left w:val="nil"/>
              <w:bottom w:val="single" w:color="000000" w:sz="8" w:space="0"/>
              <w:right w:val="single" w:color="000000" w:sz="12" w:space="0"/>
            </w:tcBorders>
            <w:shd w:val="clear" w:color="auto" w:fill="auto"/>
            <w:tcMar>
              <w:top w:w="15" w:type="dxa"/>
              <w:left w:w="15" w:type="dxa"/>
              <w:bottom w:w="15" w:type="dxa"/>
              <w:right w:w="15" w:type="dxa"/>
            </w:tcMar>
            <w:vAlign w:val="center"/>
          </w:tcPr>
          <w:p>
            <w:pPr>
              <w:widowControl/>
              <w:spacing w:line="560" w:lineRule="atLeast"/>
              <w:jc w:val="center"/>
              <w:rPr>
                <w:rFonts w:ascii="仿宋" w:hAnsi="仿宋" w:eastAsia="仿宋" w:cs="宋体"/>
                <w:kern w:val="0"/>
                <w:sz w:val="24"/>
                <w:szCs w:val="24"/>
              </w:rPr>
            </w:pPr>
          </w:p>
        </w:tc>
      </w:tr>
      <w:tr>
        <w:tblPrEx>
          <w:tblCellMar>
            <w:top w:w="0" w:type="dxa"/>
            <w:left w:w="0" w:type="dxa"/>
            <w:bottom w:w="0" w:type="dxa"/>
            <w:right w:w="0" w:type="dxa"/>
          </w:tblCellMar>
        </w:tblPrEx>
        <w:trPr>
          <w:trHeight w:val="510" w:hRule="atLeast"/>
          <w:jc w:val="center"/>
        </w:trPr>
        <w:tc>
          <w:tcPr>
            <w:tcW w:w="1168" w:type="dxa"/>
            <w:tcBorders>
              <w:top w:val="nil"/>
              <w:left w:val="single" w:color="000000" w:sz="12" w:space="0"/>
              <w:bottom w:val="single" w:color="000000" w:sz="8" w:space="0"/>
              <w:right w:val="single" w:color="000000" w:sz="8" w:space="0"/>
            </w:tcBorders>
            <w:shd w:val="clear" w:color="auto" w:fill="auto"/>
            <w:tcMar>
              <w:top w:w="15" w:type="dxa"/>
              <w:left w:w="15" w:type="dxa"/>
              <w:bottom w:w="15" w:type="dxa"/>
              <w:right w:w="15" w:type="dxa"/>
            </w:tcMar>
            <w:vAlign w:val="center"/>
          </w:tcPr>
          <w:p>
            <w:pPr>
              <w:widowControl/>
              <w:spacing w:line="560" w:lineRule="atLeast"/>
              <w:jc w:val="center"/>
              <w:rPr>
                <w:rFonts w:ascii="仿宋" w:hAnsi="仿宋" w:eastAsia="仿宋" w:cs="宋体"/>
                <w:kern w:val="0"/>
                <w:sz w:val="24"/>
                <w:szCs w:val="24"/>
              </w:rPr>
            </w:pPr>
          </w:p>
        </w:tc>
        <w:tc>
          <w:tcPr>
            <w:tcW w:w="2708"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widowControl/>
              <w:spacing w:line="560" w:lineRule="atLeast"/>
              <w:jc w:val="center"/>
              <w:rPr>
                <w:rFonts w:ascii="仿宋" w:hAnsi="仿宋" w:eastAsia="仿宋" w:cs="宋体"/>
                <w:kern w:val="0"/>
                <w:sz w:val="24"/>
                <w:szCs w:val="24"/>
              </w:rPr>
            </w:pPr>
          </w:p>
        </w:tc>
        <w:tc>
          <w:tcPr>
            <w:tcW w:w="1277" w:type="dxa"/>
            <w:gridSpan w:val="4"/>
            <w:tcBorders>
              <w:top w:val="nil"/>
              <w:left w:val="nil"/>
              <w:bottom w:val="single" w:color="000000" w:sz="8" w:space="0"/>
              <w:right w:val="single" w:color="auto" w:sz="8" w:space="0"/>
            </w:tcBorders>
            <w:shd w:val="clear" w:color="auto" w:fill="auto"/>
            <w:tcMar>
              <w:top w:w="15" w:type="dxa"/>
              <w:left w:w="15" w:type="dxa"/>
              <w:bottom w:w="15" w:type="dxa"/>
              <w:right w:w="15" w:type="dxa"/>
            </w:tcMar>
            <w:vAlign w:val="center"/>
          </w:tcPr>
          <w:p>
            <w:pPr>
              <w:widowControl/>
              <w:spacing w:line="560" w:lineRule="atLeast"/>
              <w:jc w:val="center"/>
              <w:rPr>
                <w:rFonts w:ascii="仿宋" w:hAnsi="仿宋" w:eastAsia="仿宋" w:cs="宋体"/>
                <w:kern w:val="0"/>
                <w:sz w:val="24"/>
                <w:szCs w:val="24"/>
              </w:rPr>
            </w:pPr>
          </w:p>
        </w:tc>
        <w:tc>
          <w:tcPr>
            <w:tcW w:w="2004"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widowControl/>
              <w:spacing w:line="560" w:lineRule="atLeast"/>
              <w:jc w:val="center"/>
              <w:rPr>
                <w:rFonts w:ascii="仿宋" w:hAnsi="仿宋" w:eastAsia="仿宋" w:cs="宋体"/>
                <w:kern w:val="0"/>
                <w:sz w:val="24"/>
                <w:szCs w:val="24"/>
              </w:rPr>
            </w:pPr>
          </w:p>
        </w:tc>
        <w:tc>
          <w:tcPr>
            <w:tcW w:w="6301" w:type="dxa"/>
            <w:tcBorders>
              <w:top w:val="nil"/>
              <w:left w:val="nil"/>
              <w:bottom w:val="single" w:color="000000" w:sz="8" w:space="0"/>
              <w:right w:val="single" w:color="000000" w:sz="8" w:space="0"/>
            </w:tcBorders>
            <w:shd w:val="clear" w:color="auto" w:fill="auto"/>
            <w:tcMar>
              <w:top w:w="15" w:type="dxa"/>
              <w:left w:w="15" w:type="dxa"/>
              <w:bottom w:w="15" w:type="dxa"/>
              <w:right w:w="15" w:type="dxa"/>
            </w:tcMar>
            <w:vAlign w:val="center"/>
          </w:tcPr>
          <w:p>
            <w:pPr>
              <w:widowControl/>
              <w:spacing w:line="560" w:lineRule="atLeast"/>
              <w:jc w:val="center"/>
              <w:rPr>
                <w:rFonts w:ascii="仿宋" w:hAnsi="仿宋" w:eastAsia="仿宋" w:cs="宋体"/>
                <w:kern w:val="0"/>
                <w:sz w:val="24"/>
                <w:szCs w:val="24"/>
              </w:rPr>
            </w:pPr>
          </w:p>
        </w:tc>
        <w:tc>
          <w:tcPr>
            <w:tcW w:w="952" w:type="dxa"/>
            <w:tcBorders>
              <w:top w:val="nil"/>
              <w:left w:val="nil"/>
              <w:bottom w:val="single" w:color="000000" w:sz="8" w:space="0"/>
              <w:right w:val="single" w:color="000000" w:sz="12" w:space="0"/>
            </w:tcBorders>
            <w:shd w:val="clear" w:color="auto" w:fill="auto"/>
            <w:tcMar>
              <w:top w:w="15" w:type="dxa"/>
              <w:left w:w="15" w:type="dxa"/>
              <w:bottom w:w="15" w:type="dxa"/>
              <w:right w:w="15" w:type="dxa"/>
            </w:tcMar>
            <w:vAlign w:val="center"/>
          </w:tcPr>
          <w:p>
            <w:pPr>
              <w:widowControl/>
              <w:spacing w:line="560" w:lineRule="atLeast"/>
              <w:jc w:val="center"/>
              <w:rPr>
                <w:rFonts w:ascii="仿宋" w:hAnsi="仿宋" w:eastAsia="仿宋" w:cs="宋体"/>
                <w:kern w:val="0"/>
                <w:sz w:val="24"/>
                <w:szCs w:val="24"/>
              </w:rPr>
            </w:pPr>
          </w:p>
        </w:tc>
      </w:tr>
    </w:tbl>
    <w:p/>
    <w:sectPr>
      <w:footerReference r:id="rId3" w:type="default"/>
      <w:pgSz w:w="16838" w:h="11906" w:orient="landscape"/>
      <w:pgMar w:top="1531" w:right="1701" w:bottom="834" w:left="1701"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9351464"/>
    </w:sdtPr>
    <w:sdtContent>
      <w:p>
        <w:pPr>
          <w:pStyle w:val="3"/>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0ACF406"/>
    <w:multiLevelType w:val="singleLevel"/>
    <w:tmpl w:val="70ACF406"/>
    <w:lvl w:ilvl="0" w:tentative="0">
      <w:start w:val="1"/>
      <w:numFmt w:val="decimal"/>
      <w:isLgl/>
      <w:suff w:val="nothing"/>
      <w:lvlText w:val="%1"/>
      <w:lvlJc w:val="center"/>
      <w:pPr>
        <w:tabs>
          <w:tab w:val="left" w:pos="0"/>
        </w:tabs>
        <w:ind w:left="0" w:leftChars="0" w:firstLine="0" w:firstLineChars="0"/>
      </w:pPr>
      <w:rPr>
        <w:rFonts w:hint="default" w:ascii="宋体" w:hAnsi="宋体" w:eastAsia="宋体" w:cs="宋体"/>
        <w:sz w:val="21"/>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BmYzlkMzkxMzE0NTlmNzlkMzY4Yjk1YmRhYTc4YWMifQ=="/>
  </w:docVars>
  <w:rsids>
    <w:rsidRoot w:val="00CA0F5E"/>
    <w:rsid w:val="000463C4"/>
    <w:rsid w:val="0008752E"/>
    <w:rsid w:val="00100C5E"/>
    <w:rsid w:val="00105687"/>
    <w:rsid w:val="00147426"/>
    <w:rsid w:val="00165C53"/>
    <w:rsid w:val="002277C6"/>
    <w:rsid w:val="002C1B1A"/>
    <w:rsid w:val="005F3279"/>
    <w:rsid w:val="00661E16"/>
    <w:rsid w:val="006F31D3"/>
    <w:rsid w:val="00775D5D"/>
    <w:rsid w:val="00991381"/>
    <w:rsid w:val="00BA7304"/>
    <w:rsid w:val="00BE5879"/>
    <w:rsid w:val="00C4795B"/>
    <w:rsid w:val="00C71ECD"/>
    <w:rsid w:val="00CA0F5E"/>
    <w:rsid w:val="00EB687E"/>
    <w:rsid w:val="00F862DD"/>
    <w:rsid w:val="00FA320F"/>
    <w:rsid w:val="00FE70CD"/>
    <w:rsid w:val="047D4E2B"/>
    <w:rsid w:val="085B0C65"/>
    <w:rsid w:val="0A5C4B1D"/>
    <w:rsid w:val="1C0547C6"/>
    <w:rsid w:val="21EA4C96"/>
    <w:rsid w:val="32A92A3C"/>
    <w:rsid w:val="3D4A0B3B"/>
    <w:rsid w:val="3E3318AB"/>
    <w:rsid w:val="3EBF6C6D"/>
    <w:rsid w:val="468916E9"/>
    <w:rsid w:val="47D361C5"/>
    <w:rsid w:val="529474B1"/>
    <w:rsid w:val="550021CD"/>
    <w:rsid w:val="58380FBE"/>
    <w:rsid w:val="65F86727"/>
    <w:rsid w:val="6DC17D92"/>
    <w:rsid w:val="70393334"/>
    <w:rsid w:val="73C210B5"/>
    <w:rsid w:val="7D4403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0"/>
    <w:qFormat/>
    <w:uiPriority w:val="0"/>
    <w:pPr>
      <w:autoSpaceDE w:val="0"/>
      <w:autoSpaceDN w:val="0"/>
      <w:jc w:val="left"/>
    </w:pPr>
    <w:rPr>
      <w:rFonts w:ascii="宋体" w:hAnsi="宋体" w:cs="宋体"/>
      <w:sz w:val="32"/>
      <w:szCs w:val="32"/>
      <w:lang w:val="zh-CN"/>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qFormat/>
    <w:uiPriority w:val="99"/>
    <w:rPr>
      <w:sz w:val="18"/>
      <w:szCs w:val="18"/>
    </w:rPr>
  </w:style>
  <w:style w:type="character" w:customStyle="1" w:styleId="9">
    <w:name w:val="正文文本 Char"/>
    <w:basedOn w:val="6"/>
    <w:qFormat/>
    <w:uiPriority w:val="0"/>
    <w:rPr>
      <w:rFonts w:ascii="宋体" w:hAnsi="宋体" w:cs="宋体"/>
      <w:sz w:val="32"/>
      <w:szCs w:val="32"/>
      <w:lang w:val="zh-CN"/>
    </w:rPr>
  </w:style>
  <w:style w:type="character" w:customStyle="1" w:styleId="10">
    <w:name w:val="正文文本 字符"/>
    <w:basedOn w:val="6"/>
    <w:link w:val="2"/>
    <w:semiHidden/>
    <w:qFormat/>
    <w:uiPriority w:val="99"/>
  </w:style>
  <w:style w:type="paragraph" w:customStyle="1" w:styleId="11">
    <w:name w:val="1-宋体1"/>
    <w:basedOn w:val="1"/>
    <w:qFormat/>
    <w:uiPriority w:val="0"/>
    <w:pPr>
      <w:widowControl/>
      <w:spacing w:line="280" w:lineRule="exact"/>
    </w:pPr>
    <w:rPr>
      <w:rFonts w:ascii="Times New Roman" w:hAnsi="Times New Roman" w:eastAsia="宋体" w:cs="Times New Roman"/>
      <w:kern w:val="0"/>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45</Pages>
  <Words>40171</Words>
  <Characters>40601</Characters>
  <Lines>67</Lines>
  <Paragraphs>18</Paragraphs>
  <TotalTime>155</TotalTime>
  <ScaleCrop>false</ScaleCrop>
  <LinksUpToDate>false</LinksUpToDate>
  <CharactersWithSpaces>40655</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2022-02-26T02:56:00Z</dcterms:created>
  <dc:creator>Windows 用户</dc:creator>
  <cp:lastModifiedBy>田小甜</cp:lastModifiedBy>
  <cp:lastPrinted>2023-04-24T03:14:47Z</cp:lastPrinted>
  <dcterms:modified xsi:type="dcterms:W3CDTF">2023-04-24T03:15:37Z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89B48A4F5D46430CBBC0B36673A7F0EF</vt:lpwstr>
  </property>
</Properties>
</file>