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曾项目办〔2023〕1号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FZXBSJW--GB1-0" w:hAnsi="FZXBSJW--GB1-0" w:eastAsia="FZXBSJW--GB1-0" w:cs="FZXBSJW--GB1-0"/>
          <w:color w:val="000000"/>
          <w:kern w:val="0"/>
          <w:sz w:val="40"/>
          <w:szCs w:val="40"/>
          <w:lang w:val="en-US" w:eastAsia="zh-CN" w:bidi="ar"/>
        </w:rPr>
        <w:t>关于开展重点项目督查的通知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各镇人民政府、街道办事处、经济开发区管委会，区直相关部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门：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为强力推进重大项目建设，促进全区经济社会高质量发展，现就开展2023年重点项目督查有关事项通知如下：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黑体" w:hAnsi="宋体" w:eastAsia="黑体" w:cs="黑体"/>
          <w:color w:val="000000"/>
          <w:sz w:val="31"/>
          <w:szCs w:val="31"/>
        </w:rPr>
        <w:t>一、督查时间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2023年5月18日至31日，具体时间由督查组（区委督查室、区政府督查室、区重点项目办公室）自行安排并通知被督查单位。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黑体" w:hAnsi="宋体" w:eastAsia="黑体" w:cs="黑体"/>
          <w:color w:val="000000"/>
          <w:sz w:val="31"/>
          <w:szCs w:val="31"/>
        </w:rPr>
        <w:t>二、督查内容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1.2023年区级重点项目推进情况。（项目清单请参照曾办发电〔2023〕6号文件）</w:t>
      </w:r>
    </w:p>
    <w:p>
      <w:pPr>
        <w:keepNext w:val="0"/>
        <w:keepLines w:val="0"/>
        <w:widowControl/>
        <w:suppressLineNumbers w:val="0"/>
        <w:jc w:val="right"/>
      </w:pPr>
      <w:r>
        <w:t>         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2.在推、在谋的重点项目前期工作推进情况。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3.已下达预算内资金、发行专项债券的项目推进情况。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黑体" w:hAnsi="宋体" w:eastAsia="黑体" w:cs="黑体"/>
          <w:color w:val="000000"/>
          <w:sz w:val="31"/>
          <w:szCs w:val="31"/>
        </w:rPr>
        <w:t>三、督查方式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综合采用实地走访、查看资料台账、听取汇报等方式开展督查。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黑体" w:hAnsi="宋体" w:eastAsia="黑体" w:cs="黑体"/>
          <w:color w:val="000000"/>
          <w:sz w:val="31"/>
          <w:szCs w:val="31"/>
        </w:rPr>
        <w:t>四、被督查单位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1.现场督查单位：区教育局、区民政局、区住建局、区交通运输局、区水利局、区文旅局、区卫健局、区城管执法局、曾发集团，万店镇、何店镇、洛阳镇、府河镇、东城街道、西城街道、南郊街道、北郊街道、</w:t>
      </w:r>
      <w:r>
        <w:rPr>
          <w:rFonts w:ascii="宋体" w:hAnsi="宋体" w:eastAsia="宋体" w:cs="宋体"/>
          <w:color w:val="000000"/>
          <w:sz w:val="31"/>
          <w:szCs w:val="31"/>
        </w:rPr>
        <w:t>涢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水街道、经济开发区。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2.报送材料单位：区自规局、区农业农村局、区商务局、区应急管理局、区乡村振兴局、区林业局、区生态环境分局。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黑体" w:hAnsi="宋体" w:eastAsia="黑体" w:cs="黑体"/>
          <w:color w:val="000000"/>
          <w:sz w:val="31"/>
          <w:szCs w:val="31"/>
        </w:rPr>
        <w:t>五、督查要求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1.各被督查单位要积极配合督查工作，提前做好相关准备工作,联络员: 彭</w:t>
      </w:r>
      <w:r>
        <w:rPr>
          <w:rFonts w:hint="eastAsia" w:ascii="东文宋体" w:hAnsi="东文宋体" w:eastAsia="东文宋体" w:cs="东文宋体"/>
          <w:color w:val="000000"/>
          <w:sz w:val="31"/>
          <w:szCs w:val="31"/>
        </w:rPr>
        <w:t>**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156</w:t>
      </w:r>
      <w:r>
        <w:rPr>
          <w:rFonts w:hint="eastAsia" w:ascii="东文宋体" w:hAnsi="东文宋体" w:eastAsia="东文宋体" w:cs="东文宋体"/>
          <w:color w:val="000000"/>
          <w:sz w:val="31"/>
          <w:szCs w:val="31"/>
        </w:rPr>
        <w:t>*******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7。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2.项目推进情况主要就项目进展、项目专班工作开展情况、项目存在的困难问题、下一步推进措施等作汇报并填写附件1-2。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3.督查组要坚持问题导向，对发现的问题现场进行交办，限期整改到位。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附件：1.区级重点项目推进情况表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312"/>
        </w:tabs>
        <w:ind w:left="532" w:leftChars="0" w:firstLine="0" w:firstLineChars="0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ascii="仿宋_GB2312" w:hAnsi="仿宋_GB2312" w:eastAsia="仿宋_GB2312" w:cs="仿宋_GB2312"/>
          <w:color w:val="000000"/>
          <w:sz w:val="31"/>
          <w:szCs w:val="31"/>
        </w:rPr>
        <w:t>在推、在谋项目推进情况表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532" w:leftChars="0"/>
        <w:rPr>
          <w:rFonts w:ascii="仿宋_GB2312" w:hAns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t>             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</w:pPr>
      <w:r>
        <w:t>    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曾都区推进重大项目建设做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好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稳投资工作领导小组办公室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t>                 </w:t>
      </w:r>
      <w:r>
        <w:rPr>
          <w:rFonts w:hint="eastAsia"/>
          <w:lang w:val="en-US" w:eastAsia="zh-CN"/>
        </w:rPr>
        <w:t xml:space="preserve">                 </w:t>
      </w:r>
      <w:r>
        <w:t>    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2023年5月16日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BSJW--GB1-0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DEDF3"/>
    <w:multiLevelType w:val="singleLevel"/>
    <w:tmpl w:val="5FFDEDF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3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zIzY2JhZDZmNzljNDhmNWRiYmUyOTUwNjZlN2YifQ=="/>
  </w:docVars>
  <w:rsids>
    <w:rsidRoot w:val="296E590A"/>
    <w:rsid w:val="296E590A"/>
    <w:rsid w:val="67FFC5CD"/>
    <w:rsid w:val="77F5B07B"/>
    <w:rsid w:val="7F76CDAA"/>
    <w:rsid w:val="936FB2A0"/>
    <w:rsid w:val="996F0945"/>
    <w:rsid w:val="BD5E7BB6"/>
    <w:rsid w:val="BF6FC71A"/>
    <w:rsid w:val="DAFBD71D"/>
    <w:rsid w:val="EAB78FA0"/>
    <w:rsid w:val="F7ED0865"/>
    <w:rsid w:val="FBB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752</Characters>
  <Lines>0</Lines>
  <Paragraphs>0</Paragraphs>
  <TotalTime>9</TotalTime>
  <ScaleCrop>false</ScaleCrop>
  <LinksUpToDate>false</LinksUpToDate>
  <CharactersWithSpaces>847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2023-05-20T08:21:00Z</dcterms:created>
  <dc:creator>wb</dc:creator>
  <cp:lastModifiedBy>lyj</cp:lastModifiedBy>
  <dcterms:modified xsi:type="dcterms:W3CDTF">2023-05-19T16:02:51Z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868EEB6E928C3D7A2FE365646E136868</vt:lpwstr>
  </property>
</Properties>
</file>