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center"/>
        <w:textAlignment w:val="auto"/>
        <w:rPr>
          <w:rFonts w:hint="eastAsia" w:ascii="黑体" w:hAnsi="黑体" w:eastAsia="黑体" w:cs="黑体"/>
          <w:b/>
          <w:bCs/>
          <w:color w:val="auto"/>
          <w:sz w:val="42"/>
          <w:szCs w:val="42"/>
          <w:lang w:val="en-US" w:eastAsia="zh-CN"/>
        </w:rPr>
      </w:pPr>
      <w:bookmarkStart w:id="0" w:name="_GoBack"/>
      <w:bookmarkEnd w:id="0"/>
      <w:r>
        <w:rPr>
          <w:rFonts w:hint="eastAsia" w:ascii="黑体" w:hAnsi="黑体" w:eastAsia="黑体" w:cs="黑体"/>
          <w:b/>
          <w:bCs/>
          <w:color w:val="auto"/>
          <w:kern w:val="0"/>
          <w:sz w:val="42"/>
          <w:szCs w:val="42"/>
          <w:lang w:val="en-US" w:eastAsia="zh-CN" w:bidi="ar"/>
        </w:rPr>
        <w:t>关于发布《曾都区主城区范围外集体所有土地上建（构）筑物等地上附着物征收补偿标准》的通知（草案）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hAnsi="仿宋_GB2312" w:eastAsia="仿宋_GB2312" w:cs="仿宋_GB2312"/>
          <w:sz w:val="32"/>
          <w:szCs w:val="32"/>
          <w:highlight w:val="no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各镇人民政府、</w:t>
      </w:r>
      <w:r>
        <w:rPr>
          <w:rFonts w:hint="eastAsia" w:ascii="仿宋_GB2312" w:hAnsi="仿宋_GB2312" w:eastAsia="仿宋_GB2312" w:cs="仿宋_GB2312"/>
          <w:sz w:val="32"/>
          <w:szCs w:val="32"/>
          <w:highlight w:val="none"/>
          <w:lang w:val="en-US" w:eastAsia="zh-CN"/>
        </w:rPr>
        <w:t>街道办事处、区</w:t>
      </w:r>
      <w:r>
        <w:rPr>
          <w:rFonts w:hint="eastAsia" w:ascii="仿宋_GB2312" w:hAnsi="仿宋_GB2312" w:eastAsia="仿宋_GB2312" w:cs="仿宋_GB2312"/>
          <w:sz w:val="32"/>
          <w:szCs w:val="32"/>
          <w:highlight w:val="none"/>
        </w:rPr>
        <w:t>政府各部门：</w:t>
      </w:r>
    </w:p>
    <w:p>
      <w:pPr>
        <w:keepNext w:val="0"/>
        <w:keepLines w:val="0"/>
        <w:pageBreakBefore w:val="0"/>
        <w:widowControl/>
        <w:kinsoku/>
        <w:wordWrap/>
        <w:overflowPunct/>
        <w:topLinePunct w:val="0"/>
        <w:autoSpaceDE/>
        <w:autoSpaceDN/>
        <w:bidi w:val="0"/>
        <w:adjustRightInd/>
        <w:snapToGrid/>
        <w:spacing w:line="600" w:lineRule="exact"/>
        <w:ind w:firstLine="54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highlight w:val="none"/>
        </w:rPr>
        <w:t>为切实维护被征地农民和农村集体经济组织合法权益，深入推进城乡统筹发展，根据《中华人民共和国土地管理法》</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《中华人民共和国民法典》</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省人民政府关于公布实施湖北省征地区片综合地价标准的通知》（鄂政发〔2019〕22号）和《市人民政府办公室关于公布实施随州市城区集体所有土地建（构）筑物等地上附着物征收补偿标准的通知》（随政办发〔2022〕19号）等法规政策规定，</w:t>
      </w:r>
      <w:r>
        <w:rPr>
          <w:rFonts w:hint="eastAsia" w:ascii="仿宋_GB2312" w:hAnsi="仿宋_GB2312" w:eastAsia="仿宋_GB2312" w:cs="仿宋_GB2312"/>
          <w:kern w:val="0"/>
          <w:sz w:val="32"/>
          <w:szCs w:val="32"/>
        </w:rPr>
        <w:t>结合</w:t>
      </w:r>
      <w:r>
        <w:rPr>
          <w:rFonts w:hint="eastAsia" w:ascii="仿宋_GB2312" w:hAnsi="仿宋_GB2312" w:eastAsia="仿宋_GB2312" w:cs="仿宋_GB2312"/>
          <w:sz w:val="32"/>
          <w:szCs w:val="32"/>
          <w:highlight w:val="none"/>
          <w:lang w:val="en-US" w:eastAsia="zh-CN"/>
        </w:rPr>
        <w:t>我区发展实际，特制定曾都区主城区范围外集体所有土地上建（构）筑物等地上附着物征收补偿标准(以下简称标准）。现将标准予以公布，并将有关事项通知如下：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一、凡在曾都区中心城区范围（东以新316国道为界，南以麻竹高速为界，西以炎帝大道为界，北以曾都区和随县交界处为界）以外，进行集体所有土地上建（构）筑物等地上附着物征收补偿工作的，适用本标准。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二、本标准所称征收方是指征收集体所有土地的县级人民政府；被征收方是指被征收集体所有土地上附着物的合法所有人。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三、本标准附件列入的或未列入的地上附着物和附属设施的补偿，达不成协议的，由征收双方认可的、具有相应资质的评估机构按国家相关规定评估确认。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四、国务院和省政府批准的水利、能源、交通等重大基础设施建设项目对建筑物补偿另有规定的，从其规定。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五、本标准施行前已经发布土地征收公告的，按照公告确定的补偿方案执行。本标准施行过程中，国家和省出台新规定的，按新规定执行。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六、本标准由</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rPr>
        <w:t>自然资源和规划局负责解释和监督实施，自印发之日起执行。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附件：1．</w:t>
      </w:r>
      <w:r>
        <w:rPr>
          <w:rFonts w:hint="eastAsia" w:ascii="仿宋_GB2312" w:hAnsi="仿宋_GB2312" w:eastAsia="仿宋_GB2312" w:cs="仿宋_GB2312"/>
          <w:sz w:val="32"/>
          <w:szCs w:val="32"/>
          <w:highlight w:val="none"/>
          <w:lang w:eastAsia="zh-CN"/>
        </w:rPr>
        <w:t>曾都区主城区范围外集体所有土地上</w:t>
      </w:r>
      <w:r>
        <w:rPr>
          <w:rFonts w:hint="eastAsia" w:ascii="仿宋_GB2312" w:hAnsi="仿宋_GB2312" w:eastAsia="仿宋_GB2312" w:cs="仿宋_GB2312"/>
          <w:sz w:val="32"/>
          <w:szCs w:val="32"/>
          <w:highlight w:val="none"/>
        </w:rPr>
        <w:t>房屋征收补偿指导价标准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eastAsia="zh-CN"/>
        </w:rPr>
        <w:t>曾都区主城区范围外集体所有土地上</w:t>
      </w:r>
      <w:r>
        <w:rPr>
          <w:rFonts w:hint="eastAsia" w:ascii="仿宋_GB2312" w:hAnsi="仿宋_GB2312" w:eastAsia="仿宋_GB2312" w:cs="仿宋_GB2312"/>
          <w:sz w:val="32"/>
          <w:szCs w:val="32"/>
          <w:highlight w:val="none"/>
        </w:rPr>
        <w:t>房屋附属物设施征收补偿指导标</w:t>
      </w:r>
      <w:r>
        <w:rPr>
          <w:rFonts w:hint="eastAsia" w:ascii="仿宋_GB2312" w:hAnsi="仿宋_GB2312" w:eastAsia="仿宋_GB2312" w:cs="仿宋_GB2312"/>
          <w:sz w:val="32"/>
          <w:szCs w:val="32"/>
          <w:highlight w:val="none"/>
          <w:lang w:eastAsia="zh-CN"/>
        </w:rPr>
        <w:t>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eastAsia="zh-CN"/>
        </w:rPr>
        <w:t>曾都区主城区范围外集体所有土地上</w:t>
      </w:r>
      <w:r>
        <w:rPr>
          <w:rFonts w:hint="eastAsia" w:ascii="仿宋_GB2312" w:hAnsi="仿宋_GB2312" w:eastAsia="仿宋_GB2312" w:cs="仿宋_GB2312"/>
          <w:sz w:val="32"/>
          <w:szCs w:val="32"/>
          <w:highlight w:val="none"/>
        </w:rPr>
        <w:t>树木、花卉苗圃等附着物征收补偿指导价标准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lang w:eastAsia="zh-CN"/>
        </w:rPr>
        <w:t>曾都区主城区范围外集体所有土地上</w:t>
      </w:r>
      <w:r>
        <w:rPr>
          <w:rFonts w:hint="eastAsia" w:ascii="仿宋_GB2312" w:hAnsi="仿宋_GB2312" w:eastAsia="仿宋_GB2312" w:cs="仿宋_GB2312"/>
          <w:sz w:val="32"/>
          <w:szCs w:val="32"/>
          <w:highlight w:val="none"/>
        </w:rPr>
        <w:t>其他附着物征收补偿指导价标准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hAnsi="仿宋_GB2312" w:eastAsia="仿宋_GB2312" w:cs="仿宋_GB2312"/>
          <w:sz w:val="32"/>
          <w:szCs w:val="32"/>
          <w:highlight w:val="no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4800" w:firstLineChars="15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22</w:t>
      </w:r>
      <w:r>
        <w:rPr>
          <w:rFonts w:hint="eastAsia" w:ascii="仿宋_GB2312" w:hAnsi="仿宋_GB2312" w:eastAsia="仿宋_GB2312" w:cs="仿宋_GB2312"/>
          <w:sz w:val="32"/>
          <w:szCs w:val="32"/>
          <w:highlight w:val="none"/>
        </w:rPr>
        <w:t>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720" w:firstLineChars="2100"/>
        <w:jc w:val="both"/>
        <w:textAlignment w:val="auto"/>
        <w:rPr>
          <w:rFonts w:hint="eastAsia" w:ascii="仿宋_GB2312" w:hAnsi="仿宋_GB2312" w:eastAsia="仿宋_GB2312" w:cs="仿宋_GB2312"/>
          <w:sz w:val="32"/>
          <w:szCs w:val="32"/>
          <w:highlight w:val="no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720" w:firstLineChars="2100"/>
        <w:jc w:val="both"/>
        <w:textAlignment w:val="auto"/>
        <w:rPr>
          <w:rFonts w:hint="eastAsia" w:ascii="微软雅黑" w:hAnsi="微软雅黑" w:eastAsia="微软雅黑" w:cs="微软雅黑"/>
          <w:sz w:val="32"/>
          <w:szCs w:val="32"/>
          <w:highlight w:val="no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20"/>
        <w:jc w:val="both"/>
        <w:textAlignment w:val="auto"/>
        <w:rPr>
          <w:rFonts w:hint="eastAsia" w:ascii="黑体" w:hAnsi="黑体" w:eastAsia="黑体" w:cs="黑体"/>
          <w:sz w:val="32"/>
          <w:szCs w:val="32"/>
          <w:highlight w:val="no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20"/>
        <w:jc w:val="both"/>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附件1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1600" w:firstLineChars="500"/>
        <w:jc w:val="both"/>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曾都区主城区范围外集体所有土地上</w:t>
      </w:r>
      <w:r>
        <w:rPr>
          <w:rFonts w:hint="eastAsia" w:ascii="黑体" w:hAnsi="黑体" w:eastAsia="黑体" w:cs="黑体"/>
          <w:sz w:val="32"/>
          <w:szCs w:val="32"/>
          <w:highlight w:val="none"/>
        </w:rPr>
        <w:t>房屋征收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3200" w:firstLineChars="1000"/>
        <w:jc w:val="both"/>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补偿指导价标准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2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集体土地上合法住宅房屋选择货币化安置补偿的，建筑面积300㎡以内的部分参照国有划拨使用权土地上住宅评估价格进行补偿，具体评估思路为：将类似地段新建商品住宅成交均价进行加权平均，确定新建商品房基准价格，并按照现行基准地价扣减土地出让金，再针对区位、实物等因素进行减价修正（修正幅度为－20％～－30％），作为补偿基准价格。房屋建筑面积300㎡以上的部分按照建筑物重置成新价补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2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符合奖励政策要求的根据政策给予相应奖励。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2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拥有合法产权的住宅房屋经合法程序改为经营用途，以该住宅为注册地址，拥有合法有效的经营证照，在土地征收公告之日正在经营且已连续经营2年以上的，可在住宅补偿基准价格基础上，对其实际用于经营的部分给予适当补助。补助标准：临规划主干道用于经营部分的房屋，按其用于经营部分的住宅房屋评估价的30％予以补助；临规划次干道用于经营部分的房屋，按其用于经营部分的住宅房屋评估价的20％予以补助。由</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自然资源和规划局会同</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住建局界定规划主干道和次干道范围。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2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三、在依法取得集体土地使用权的土地上兴办生产型企业的，其地上合法建筑物原则上按具有相应资质的评估机构评估的重置成新价进行补偿。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2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因土地征收造成停产停业的，给予的停产停业损失补偿原则上不超过现状经营或生产性房屋补偿价值的5％。上述标准确实不足的，由征收双方根据其土地征收前的纳税情况、经营规模、停产停业期限等因素协商确定。协商不成的，可以委托具有相应资质的评估机构评估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2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停产停业损失补偿给合法所有人。房屋出租的，由合法所有人与承租人协商补偿资金分配问题。</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2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对未经登记房屋，在作出土地征收决定前，由</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自然资源和规划局牵头，会同</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住建局、</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城管执法局等部门依据相关法律法规，对涉及建筑进行调查认定。对认定为合法建筑的依据认定结果予以补偿；对认定为违法建筑的不予补偿，由具备该土地上房屋行政执法权的单位牵头，会同相关责任单位按照法定程序组织拆除，防止私搭乱建，恶意增加征收补偿成本。</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420" w:leftChars="0" w:right="0" w:rightChars="0"/>
        <w:jc w:val="both"/>
        <w:textAlignment w:val="auto"/>
        <w:rPr>
          <w:rFonts w:hint="eastAsia" w:ascii="仿宋_GB2312" w:hAnsi="仿宋_GB2312" w:eastAsia="仿宋_GB2312" w:cs="仿宋_GB2312"/>
          <w:sz w:val="32"/>
          <w:szCs w:val="32"/>
          <w:highlight w:val="none"/>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420" w:leftChars="0" w:right="0" w:rightChars="0"/>
        <w:jc w:val="both"/>
        <w:textAlignment w:val="auto"/>
        <w:rPr>
          <w:rFonts w:hint="eastAsia" w:ascii="仿宋_GB2312" w:hAnsi="仿宋_GB2312" w:eastAsia="仿宋_GB2312" w:cs="仿宋_GB2312"/>
          <w:sz w:val="32"/>
          <w:szCs w:val="32"/>
          <w:highlight w:val="none"/>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420" w:leftChars="0" w:right="0" w:rightChars="0"/>
        <w:jc w:val="both"/>
        <w:textAlignment w:val="auto"/>
        <w:rPr>
          <w:rFonts w:hint="eastAsia" w:ascii="仿宋_GB2312" w:hAnsi="仿宋_GB2312" w:eastAsia="仿宋_GB2312" w:cs="仿宋_GB2312"/>
          <w:sz w:val="32"/>
          <w:szCs w:val="32"/>
          <w:highlight w:val="none"/>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420" w:leftChars="0" w:right="0" w:rightChars="0"/>
        <w:jc w:val="both"/>
        <w:textAlignment w:val="auto"/>
        <w:rPr>
          <w:rFonts w:hint="eastAsia" w:ascii="仿宋_GB2312" w:hAnsi="仿宋_GB2312" w:eastAsia="仿宋_GB2312" w:cs="仿宋_GB2312"/>
          <w:sz w:val="32"/>
          <w:szCs w:val="32"/>
          <w:highlight w:val="no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20"/>
        <w:jc w:val="both"/>
        <w:textAlignment w:val="auto"/>
        <w:rPr>
          <w:rFonts w:hint="eastAsia" w:ascii="仿宋_GB2312" w:hAnsi="仿宋_GB2312" w:eastAsia="仿宋_GB2312" w:cs="仿宋_GB2312"/>
          <w:sz w:val="32"/>
          <w:szCs w:val="32"/>
          <w:highlight w:val="magenta"/>
          <w:lang w:val="en-US" w:eastAsia="zh-CN"/>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曾都区主城区范围外集体所有土地上</w:t>
      </w:r>
      <w:r>
        <w:rPr>
          <w:rFonts w:hint="eastAsia" w:ascii="仿宋_GB2312" w:hAnsi="仿宋_GB2312" w:eastAsia="仿宋_GB2312" w:cs="仿宋_GB2312"/>
          <w:sz w:val="32"/>
          <w:szCs w:val="32"/>
        </w:rPr>
        <w:t>住宅房屋补偿重置</w:t>
      </w:r>
      <w:r>
        <w:rPr>
          <w:rFonts w:hint="eastAsia" w:ascii="仿宋_GB2312" w:hAnsi="仿宋_GB2312" w:eastAsia="仿宋_GB2312" w:cs="仿宋_GB2312"/>
          <w:sz w:val="32"/>
          <w:szCs w:val="32"/>
          <w:highlight w:val="none"/>
        </w:rPr>
        <w:t>成本价参考标准</w:t>
      </w:r>
    </w:p>
    <w:tbl>
      <w:tblPr>
        <w:tblStyle w:val="3"/>
        <w:tblW w:w="0" w:type="auto"/>
        <w:tblInd w:w="-244"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10"/>
        <w:gridCol w:w="589"/>
        <w:gridCol w:w="1051"/>
        <w:gridCol w:w="2690"/>
        <w:gridCol w:w="2121"/>
        <w:gridCol w:w="173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510"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名称</w:t>
            </w:r>
          </w:p>
        </w:tc>
        <w:tc>
          <w:tcPr>
            <w:tcW w:w="590"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级</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重置成本价（单位：元／㎡）</w:t>
            </w:r>
          </w:p>
        </w:tc>
        <w:tc>
          <w:tcPr>
            <w:tcW w:w="0" w:type="auto"/>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结构</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装修设备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及其他</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05" w:hRule="atLeast"/>
        </w:trPr>
        <w:tc>
          <w:tcPr>
            <w:tcW w:w="51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59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承重构件</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楼地面、屋面</w:t>
            </w: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51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框架</w:t>
            </w:r>
          </w:p>
        </w:tc>
        <w:tc>
          <w:tcPr>
            <w:tcW w:w="5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11</w:t>
            </w:r>
            <w:r>
              <w:rPr>
                <w:rFonts w:hint="eastAsia" w:ascii="仿宋_GB2312" w:hAnsi="仿宋_GB2312" w:eastAsia="仿宋_GB2312" w:cs="仿宋_GB2312"/>
                <w:sz w:val="24"/>
                <w:szCs w:val="24"/>
                <w:highlight w:val="none"/>
                <w:lang w:val="en-US" w:eastAsia="zh-CN"/>
              </w:rPr>
              <w:t>84</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独立（条形）基础，主体结构为钢筋砼柱、梁承重，现浇楼板，240mm厚实砌内外砖墙，层高3.2m及以上</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水泥抹光地面、平屋面为柔性或刚性防水，房屋四周砼散水坡，梯间为金属或木扶手栏杆</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内墙刮白，外墙水泥砂浆，室内水电管线、开关插座、日光灯安装到位</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510"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混</w:t>
            </w:r>
          </w:p>
        </w:tc>
        <w:tc>
          <w:tcPr>
            <w:tcW w:w="5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一等</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905</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砖石或砼基础，层层构造柱、圈梁、240mm厚实砌内外砖墙或部分钢筋砼梁、柱承重、现浇或预制楼板，层高3.2m及以上</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水泥抹光地面、平屋面为柔性或刚性防水，房屋四周砼散水坡、梯间为金属或木扶手栏杆</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内墙刮白，外墙水泥砂浆，室内水电管线、开关插座、日光灯安装到位</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51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highlight w:val="none"/>
              </w:rPr>
            </w:pPr>
          </w:p>
        </w:tc>
        <w:tc>
          <w:tcPr>
            <w:tcW w:w="5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二等</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817</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砖石基础，地圈梁，240mm厚空斗内外砖墙或部分120mm砖墙，预制楼板，层高2.8m－3.0m</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水泥抹光地面、平屋面为柔性或刚性防水，房屋四周砼散水坡、梯间为金属栏杆或木扶手栏杆</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内墙刮白，外墙水泥砂浆，室内水电管线、开关插座、日光灯安装到位</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510"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木</w:t>
            </w:r>
          </w:p>
        </w:tc>
        <w:tc>
          <w:tcPr>
            <w:tcW w:w="5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一等</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740</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砖石或砼基础、木屋架、木梁，少量木柱，240mm实心墙砖承重或钢屋架钢梁承重，檐高3.2m及以上</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水泥抹光地面、红平瓦脊屋面，房屋四周砼散水坡</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内墙刮白，外墙水泥砂浆，室内水电管线、开关插座、日光灯安装到位</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51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highlight w:val="none"/>
              </w:rPr>
            </w:pPr>
          </w:p>
        </w:tc>
        <w:tc>
          <w:tcPr>
            <w:tcW w:w="5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二等</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545</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砖石基础，120mm墙及少量240mm墙，一般杂梁承重，檐高2.8m</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水泥地面、纤维石棉瓦坡屋面</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内墙刮白，外墙水泥砂浆，室内水电管线、开关插座、日光灯安装到位</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20"/>
        <w:jc w:val="both"/>
        <w:textAlignment w:val="auto"/>
        <w:rPr>
          <w:rFonts w:hint="eastAsia" w:ascii="仿宋_GB2312" w:hAnsi="仿宋_GB2312" w:eastAsia="仿宋_GB2312" w:cs="仿宋_GB2312"/>
          <w:sz w:val="24"/>
          <w:szCs w:val="24"/>
          <w:highlight w:val="no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20"/>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备注：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20"/>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住宅房屋重置成本价格内涵：包括房屋主体建（构）筑物、材料运输、房屋排水设施（天沟、水斗、室外排水管）、房屋四周排水明暗沟、散水、雨棚、踏步、上楼的楼梯（不锈钢、铁艺扶手另增加补偿），室内水、电管道及基础均等配套设施的建筑安装工程费，不包括土地价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20"/>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2．此标准仅适用于集体土地上住户自建的零星住宅房屋。对于成片建设的生产厂房，本着实事求是的原则，由房地产价格评估机构在建筑安装工程费基础上评估建筑物重置成新价，征收方予以补偿。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20"/>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3．对房屋装修如普通木门窗、106涂料墙面、喷塑墙面、油漆墙面、油漆地面、油漆踢脚线均不予另外计算。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20"/>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4．一般砖及钢柱承重（无围护结构、缺少围护结构），钢屋架、彩钢瓦屋面房屋参照砖木结构二等房屋评定。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20"/>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5．各类结构等级中如二等房屋含有一等房标准的某项，则可参照实际成本计算。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20"/>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6．各类别房屋所确定的参考标准，以建成的房屋成品为标准计算。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2" w:afterAutospacing="0" w:line="480" w:lineRule="atLeast"/>
        <w:ind w:left="0" w:right="0" w:firstLine="420"/>
        <w:jc w:val="both"/>
        <w:rPr>
          <w:rFonts w:hint="eastAsia" w:ascii="仿宋_GB2312" w:hAnsi="仿宋_GB2312" w:eastAsia="仿宋_GB2312" w:cs="仿宋_GB2312"/>
          <w:sz w:val="24"/>
          <w:szCs w:val="24"/>
          <w:highlight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2" w:afterAutospacing="0" w:line="480" w:lineRule="atLeast"/>
        <w:ind w:left="0" w:right="0" w:firstLine="420"/>
        <w:jc w:val="both"/>
        <w:rPr>
          <w:rFonts w:hint="eastAsia" w:ascii="仿宋_GB2312" w:hAnsi="仿宋_GB2312" w:eastAsia="仿宋_GB2312" w:cs="仿宋_GB2312"/>
          <w:sz w:val="24"/>
          <w:szCs w:val="24"/>
          <w:highlight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2" w:afterAutospacing="0" w:line="480" w:lineRule="atLeast"/>
        <w:ind w:left="0" w:right="0" w:firstLine="420"/>
        <w:jc w:val="both"/>
        <w:rPr>
          <w:rFonts w:hint="eastAsia" w:ascii="仿宋_GB2312" w:hAnsi="仿宋_GB2312" w:eastAsia="仿宋_GB2312" w:cs="仿宋_GB2312"/>
          <w:sz w:val="24"/>
          <w:szCs w:val="24"/>
          <w:highlight w:val="no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20"/>
        <w:jc w:val="both"/>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附件2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20"/>
        <w:jc w:val="both"/>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曾都区主城区范围外集体所有土地上</w:t>
      </w:r>
      <w:r>
        <w:rPr>
          <w:rFonts w:hint="eastAsia" w:ascii="黑体" w:hAnsi="黑体" w:eastAsia="黑体" w:cs="黑体"/>
          <w:sz w:val="32"/>
          <w:szCs w:val="32"/>
          <w:highlight w:val="none"/>
        </w:rPr>
        <w:t>房屋附属物设施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2560" w:firstLineChars="800"/>
        <w:jc w:val="both"/>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征收补偿指导价标准</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91"/>
        <w:gridCol w:w="1335"/>
        <w:gridCol w:w="2132"/>
        <w:gridCol w:w="491"/>
        <w:gridCol w:w="1475"/>
        <w:gridCol w:w="2532"/>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名称</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标准（元）</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混凝土地坪</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厚度10cm</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40</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可根据实际厚度相应调整</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厚度20cm</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80</w:t>
            </w: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水泥道路</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120</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基层铺设碎石、稳定层、混凝土20cm及以上</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围墙</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单砖墙</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90</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含围墙基础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挂斗墙</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120</w:t>
            </w: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24cm实心墙</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170</w:t>
            </w: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铁艺围墙</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180</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门　楼</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砖柱</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m³</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500</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水泥板</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110</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砖　墙</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12cm实心砖墙</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70</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不含砖基础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24cm实心砖墙</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120</w:t>
            </w: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简　房</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砖木</w:t>
            </w:r>
            <w:r>
              <w:rPr>
                <w:rFonts w:hint="eastAsia" w:ascii="仿宋_GB2312" w:hAnsi="仿宋_GB2312" w:eastAsia="仿宋_GB2312" w:cs="仿宋_GB2312"/>
                <w:sz w:val="24"/>
                <w:szCs w:val="24"/>
                <w:lang w:val="en-US" w:eastAsia="zh-CN"/>
              </w:rPr>
              <w:t>简</w:t>
            </w:r>
            <w:r>
              <w:rPr>
                <w:rFonts w:hint="eastAsia" w:ascii="仿宋_GB2312" w:hAnsi="仿宋_GB2312" w:eastAsia="仿宋_GB2312" w:cs="仿宋_GB2312"/>
                <w:sz w:val="24"/>
                <w:szCs w:val="24"/>
              </w:rPr>
              <w:t>房1</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200</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2m高、120mm厚砖墙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砖木</w:t>
            </w:r>
            <w:r>
              <w:rPr>
                <w:rFonts w:hint="eastAsia" w:ascii="仿宋_GB2312" w:hAnsi="仿宋_GB2312" w:eastAsia="仿宋_GB2312" w:cs="仿宋_GB2312"/>
                <w:sz w:val="24"/>
                <w:szCs w:val="24"/>
                <w:lang w:val="en-US" w:eastAsia="zh-CN"/>
              </w:rPr>
              <w:t>简</w:t>
            </w:r>
            <w:r>
              <w:rPr>
                <w:rFonts w:hint="eastAsia" w:ascii="仿宋_GB2312" w:hAnsi="仿宋_GB2312" w:eastAsia="仿宋_GB2312" w:cs="仿宋_GB2312"/>
                <w:sz w:val="24"/>
                <w:szCs w:val="24"/>
              </w:rPr>
              <w:t>房2</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290</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2m高、240mm厚砖墙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混合</w:t>
            </w:r>
            <w:r>
              <w:rPr>
                <w:rFonts w:hint="eastAsia" w:ascii="仿宋_GB2312" w:hAnsi="仿宋_GB2312" w:eastAsia="仿宋_GB2312" w:cs="仿宋_GB2312"/>
                <w:sz w:val="24"/>
                <w:szCs w:val="24"/>
                <w:lang w:val="en-US" w:eastAsia="zh-CN"/>
              </w:rPr>
              <w:t>简</w:t>
            </w:r>
            <w:r>
              <w:rPr>
                <w:rFonts w:hint="eastAsia" w:ascii="仿宋_GB2312" w:hAnsi="仿宋_GB2312" w:eastAsia="仿宋_GB2312" w:cs="仿宋_GB2312"/>
                <w:sz w:val="24"/>
                <w:szCs w:val="24"/>
              </w:rPr>
              <w:t>房1</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300</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2m高、120mm厚砖墙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混合</w:t>
            </w:r>
            <w:r>
              <w:rPr>
                <w:rFonts w:hint="eastAsia" w:ascii="仿宋_GB2312" w:hAnsi="仿宋_GB2312" w:eastAsia="仿宋_GB2312" w:cs="仿宋_GB2312"/>
                <w:sz w:val="24"/>
                <w:szCs w:val="24"/>
                <w:lang w:val="en-US" w:eastAsia="zh-CN"/>
              </w:rPr>
              <w:t>简</w:t>
            </w:r>
            <w:r>
              <w:rPr>
                <w:rFonts w:hint="eastAsia" w:ascii="仿宋_GB2312" w:hAnsi="仿宋_GB2312" w:eastAsia="仿宋_GB2312" w:cs="仿宋_GB2312"/>
                <w:sz w:val="24"/>
                <w:szCs w:val="24"/>
              </w:rPr>
              <w:t>房2</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400</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2m高、240mm厚砖墙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简　棚</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彩钢棚</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120</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w:t>
            </w: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瓦棚</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90</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隔热建筑</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机制瓦隔热建筑</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160</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檐口高度1米（含）以下</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w:t>
            </w: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水泥瓦隔热建筑</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彩钢瓦隔热建筑</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130</w:t>
            </w: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w:t>
            </w: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机制瓦隔热建筑</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210</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檐口高度1－2.2米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w:t>
            </w: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水泥瓦隔热建筑</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150</w:t>
            </w: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w:t>
            </w: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彩钢瓦隔热建筑</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180</w:t>
            </w: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猪圈、牛棚、厕所</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有顶</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参照房屋建房</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w:t>
            </w: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0" w:type="auto"/>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无顶</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参照地坪及砖墙折算</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w:t>
            </w: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鸡笼</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鸡笼</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个</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花坛</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花坛</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台阶</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砖台阶</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120</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护坡</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毛石护坡（石挡土墙）</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m³</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highlight w:val="none"/>
                <w:lang w:val="en-US"/>
              </w:rPr>
            </w:pPr>
            <w:r>
              <w:rPr>
                <w:rFonts w:hint="eastAsia" w:ascii="仿宋_GB2312" w:hAnsi="仿宋_GB2312" w:eastAsia="仿宋_GB2312" w:cs="仿宋_GB2312"/>
                <w:sz w:val="24"/>
                <w:szCs w:val="24"/>
                <w:highlight w:val="none"/>
                <w:lang w:val="en-US" w:eastAsia="zh-CN"/>
              </w:rPr>
              <w:t>300</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highlight w:val="magenta"/>
                <w:lang w:val="en-US" w:eastAsia="zh-CN"/>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w:t>
            </w: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混凝土护坡</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105</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标准厚度</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㎝，每增加1cm加12元／㎡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水井</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手动压水井</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口</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700</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lang w:val="en-US" w:eastAsia="zh-CN"/>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w:t>
            </w: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电动水井</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个</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1000</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如有电动水泵另加安拆费200元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w:t>
            </w: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砖石砌沉水井</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口</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3200</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w:t>
            </w: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机打井</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m</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200</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lang w:val="en-US" w:eastAsia="zh-CN"/>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土灶</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单灶</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个</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500</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lang w:val="en-US" w:eastAsia="zh-CN"/>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37</w:t>
            </w: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双灶</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个</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800</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38</w:t>
            </w: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豆腐灶、炕灶</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个</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800</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39</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案台</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单层，包含柱脚</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150</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水池、化粪池</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地上水池</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参照砖墙加抹灰测算</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抹灰20元／㎡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41</w:t>
            </w: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地下化粪池</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m³</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520</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42</w:t>
            </w: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地下水池</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m³</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350</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43</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铁皮水罐移装费</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个</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200</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44</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宽带转迁费</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条</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参照市场价格</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数字电视收视补偿费</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户</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参照市场价格</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46</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抽油烟机移机费</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台</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200</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47</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空调移机费</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柜机、挂机</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台</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400</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48</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热水器移机费</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太阳能</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个</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400</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49</w:t>
            </w: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燃气、电能</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个</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400</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水开户</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户</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1500</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如有包装发票，按发票金额补偿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两相电开户</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户</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780</w:t>
            </w: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52</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三相电开户</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户</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3000</w:t>
            </w: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53</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电线杆</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木质电杆</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200</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54</w:t>
            </w: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水泥电杆</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300</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55</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天然气开户</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户</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2200</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如有包装发票，按发票金额补偿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56</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铁门</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铁皮门</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樘</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250</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57</w:t>
            </w: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铁门</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250</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58</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顶篷</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彩条布</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59</w:t>
            </w: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芦席顶篷</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60</w:t>
            </w: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木顶篷</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61</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活动板房</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350</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泡沫夹芯板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62</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水沟</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暗沟（0.3m×0.3m）</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m</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100</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沟量取净宽、净深，标注尺寸（宽×深）</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63</w:t>
            </w: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明沟（0.3m×0.3m）</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m</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70</w:t>
            </w: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64</w:t>
            </w: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明沟（0.3m×0.5m）</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m</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110</w:t>
            </w: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65</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铁大门</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简易铁大门</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66</w:t>
            </w: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铁艺绣花大门</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250</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67</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水表</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块</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300</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如有包装发票，按发票金额补偿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68</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雨棚</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塑料</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70</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69</w:t>
            </w: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铝合金</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140</w:t>
            </w:r>
          </w:p>
        </w:tc>
        <w:tc>
          <w:tcPr>
            <w:tcW w:w="0" w:type="auto"/>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2" w:afterAutospacing="0" w:line="480" w:lineRule="atLeast"/>
        <w:ind w:left="0" w:right="0" w:firstLine="420"/>
        <w:jc w:val="both"/>
        <w:rPr>
          <w:rFonts w:hint="eastAsia" w:ascii="仿宋_GB2312" w:hAnsi="仿宋_GB2312" w:eastAsia="仿宋_GB2312" w:cs="仿宋_GB2312"/>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2" w:afterAutospacing="0" w:line="480" w:lineRule="atLeast"/>
        <w:ind w:left="0" w:right="0" w:firstLine="420"/>
        <w:jc w:val="both"/>
        <w:rPr>
          <w:rFonts w:hint="eastAsia" w:ascii="仿宋_GB2312" w:hAnsi="仿宋_GB2312" w:eastAsia="仿宋_GB2312" w:cs="仿宋_GB2312"/>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2" w:afterAutospacing="0" w:line="480" w:lineRule="atLeast"/>
        <w:ind w:left="0" w:right="0" w:firstLine="420"/>
        <w:jc w:val="both"/>
        <w:rPr>
          <w:rFonts w:hint="eastAsia" w:ascii="仿宋_GB2312" w:hAnsi="仿宋_GB2312" w:eastAsia="仿宋_GB2312" w:cs="仿宋_GB2312"/>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2" w:afterAutospacing="0" w:line="480" w:lineRule="atLeast"/>
        <w:ind w:left="0" w:right="0" w:firstLine="420"/>
        <w:jc w:val="both"/>
        <w:rPr>
          <w:rFonts w:hint="eastAsia" w:ascii="仿宋_GB2312" w:hAnsi="仿宋_GB2312" w:eastAsia="仿宋_GB2312" w:cs="仿宋_GB2312"/>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2" w:afterAutospacing="0" w:line="480" w:lineRule="atLeast"/>
        <w:ind w:left="0" w:right="0" w:firstLine="420"/>
        <w:jc w:val="both"/>
        <w:rPr>
          <w:rFonts w:hint="eastAsia" w:ascii="仿宋_GB2312" w:hAnsi="仿宋_GB2312" w:eastAsia="仿宋_GB2312" w:cs="仿宋_GB2312"/>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2" w:afterAutospacing="0" w:line="480" w:lineRule="atLeast"/>
        <w:ind w:left="0" w:right="0" w:firstLine="420"/>
        <w:jc w:val="both"/>
        <w:rPr>
          <w:rFonts w:hint="eastAsia" w:ascii="仿宋_GB2312" w:hAnsi="仿宋_GB2312" w:eastAsia="仿宋_GB2312" w:cs="仿宋_GB2312"/>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2" w:afterAutospacing="0" w:line="480" w:lineRule="atLeast"/>
        <w:ind w:left="0" w:right="0" w:firstLine="420"/>
        <w:jc w:val="both"/>
        <w:rPr>
          <w:rFonts w:hint="eastAsia" w:ascii="仿宋_GB2312" w:hAnsi="仿宋_GB2312" w:eastAsia="仿宋_GB2312" w:cs="仿宋_GB2312"/>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2" w:afterAutospacing="0" w:line="480" w:lineRule="atLeast"/>
        <w:ind w:left="0" w:right="0" w:firstLine="420"/>
        <w:jc w:val="both"/>
        <w:rPr>
          <w:rFonts w:hint="eastAsia" w:ascii="仿宋_GB2312" w:hAnsi="仿宋_GB2312" w:eastAsia="仿宋_GB2312" w:cs="仿宋_GB2312"/>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20"/>
        <w:jc w:val="both"/>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附件3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20"/>
        <w:jc w:val="both"/>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曾都区主城区范围外集体所有土地上</w:t>
      </w:r>
      <w:r>
        <w:rPr>
          <w:rFonts w:hint="eastAsia" w:ascii="黑体" w:hAnsi="黑体" w:eastAsia="黑体" w:cs="黑体"/>
          <w:sz w:val="32"/>
          <w:szCs w:val="32"/>
          <w:highlight w:val="none"/>
        </w:rPr>
        <w:t>树木、花卉苗圃等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2240" w:firstLineChars="700"/>
        <w:jc w:val="both"/>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附着物征收补偿指导价标准</w:t>
      </w:r>
    </w:p>
    <w:tbl>
      <w:tblPr>
        <w:tblStyle w:val="3"/>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37"/>
        <w:gridCol w:w="870"/>
        <w:gridCol w:w="1434"/>
        <w:gridCol w:w="2186"/>
        <w:gridCol w:w="618"/>
        <w:gridCol w:w="1085"/>
        <w:gridCol w:w="172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2955" w:type="dxa"/>
            <w:gridSpan w:val="3"/>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类    别</w:t>
            </w:r>
          </w:p>
        </w:tc>
        <w:tc>
          <w:tcPr>
            <w:tcW w:w="2370"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规格</w:t>
            </w:r>
          </w:p>
        </w:tc>
        <w:tc>
          <w:tcPr>
            <w:tcW w:w="645"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w:t>
            </w:r>
          </w:p>
        </w:tc>
        <w:tc>
          <w:tcPr>
            <w:tcW w:w="1110"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补偿标准（元）</w:t>
            </w:r>
          </w:p>
        </w:tc>
        <w:tc>
          <w:tcPr>
            <w:tcW w:w="1770"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2955" w:type="dxa"/>
            <w:gridSpan w:val="3"/>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237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645"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111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177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555"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树木补偿标准</w:t>
            </w:r>
          </w:p>
        </w:tc>
        <w:tc>
          <w:tcPr>
            <w:tcW w:w="870"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挂果树</w:t>
            </w:r>
          </w:p>
        </w:tc>
        <w:tc>
          <w:tcPr>
            <w:tcW w:w="1530"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桃树、李树、梨树、枣树、樱桃树、枇杷树、石榴树、柿子树、杏树、板栗、桑葚等</w:t>
            </w:r>
          </w:p>
        </w:tc>
        <w:tc>
          <w:tcPr>
            <w:tcW w:w="237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大（胸径≥10㎝）</w:t>
            </w:r>
          </w:p>
        </w:tc>
        <w:tc>
          <w:tcPr>
            <w:tcW w:w="64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株</w:t>
            </w:r>
          </w:p>
        </w:tc>
        <w:tc>
          <w:tcPr>
            <w:tcW w:w="111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200</w:t>
            </w:r>
          </w:p>
        </w:tc>
        <w:tc>
          <w:tcPr>
            <w:tcW w:w="1770"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成片的果园，根据科学合理栽植的原则，盛果期每亩定植100—120株（行距2m×3m），超过合理株数酌情降低补偿，每亩最高不超过23000元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555"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87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153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237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中（5㎝≤胸径＜10㎝）</w:t>
            </w:r>
          </w:p>
        </w:tc>
        <w:tc>
          <w:tcPr>
            <w:tcW w:w="64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株</w:t>
            </w:r>
          </w:p>
        </w:tc>
        <w:tc>
          <w:tcPr>
            <w:tcW w:w="111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50－80</w:t>
            </w:r>
          </w:p>
        </w:tc>
        <w:tc>
          <w:tcPr>
            <w:tcW w:w="177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555"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87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153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237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小（3㎝≤胸径＜5㎝）</w:t>
            </w:r>
          </w:p>
        </w:tc>
        <w:tc>
          <w:tcPr>
            <w:tcW w:w="64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株</w:t>
            </w:r>
          </w:p>
        </w:tc>
        <w:tc>
          <w:tcPr>
            <w:tcW w:w="111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10－20</w:t>
            </w:r>
          </w:p>
        </w:tc>
        <w:tc>
          <w:tcPr>
            <w:tcW w:w="177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555"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87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153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237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幼（1㎝≤胸径＜3㎝）</w:t>
            </w:r>
          </w:p>
        </w:tc>
        <w:tc>
          <w:tcPr>
            <w:tcW w:w="64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株</w:t>
            </w:r>
          </w:p>
        </w:tc>
        <w:tc>
          <w:tcPr>
            <w:tcW w:w="111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5－10</w:t>
            </w:r>
          </w:p>
        </w:tc>
        <w:tc>
          <w:tcPr>
            <w:tcW w:w="177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555"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87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153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237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苗（胸径＜1㎝）</w:t>
            </w:r>
          </w:p>
        </w:tc>
        <w:tc>
          <w:tcPr>
            <w:tcW w:w="64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株</w:t>
            </w:r>
          </w:p>
        </w:tc>
        <w:tc>
          <w:tcPr>
            <w:tcW w:w="111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w:t>
            </w:r>
          </w:p>
        </w:tc>
        <w:tc>
          <w:tcPr>
            <w:tcW w:w="177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555"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870"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风景树</w:t>
            </w:r>
          </w:p>
        </w:tc>
        <w:tc>
          <w:tcPr>
            <w:tcW w:w="1530"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桂花、红叶石楠、樟树、雪松、楠树、万年青、紫薇、对节白蜡、广玉兰、银杏、垂柳等</w:t>
            </w:r>
          </w:p>
        </w:tc>
        <w:tc>
          <w:tcPr>
            <w:tcW w:w="237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大（胸径≥10㎝）</w:t>
            </w:r>
          </w:p>
        </w:tc>
        <w:tc>
          <w:tcPr>
            <w:tcW w:w="64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株</w:t>
            </w:r>
          </w:p>
        </w:tc>
        <w:tc>
          <w:tcPr>
            <w:tcW w:w="111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200</w:t>
            </w:r>
          </w:p>
        </w:tc>
        <w:tc>
          <w:tcPr>
            <w:tcW w:w="1770"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根据科学合理栽植的原则，每亩最高补偿不超过23000元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555"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87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153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237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中（5㎝≤胸径＜10㎝）</w:t>
            </w:r>
          </w:p>
        </w:tc>
        <w:tc>
          <w:tcPr>
            <w:tcW w:w="64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株</w:t>
            </w:r>
          </w:p>
        </w:tc>
        <w:tc>
          <w:tcPr>
            <w:tcW w:w="111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50－80</w:t>
            </w:r>
          </w:p>
        </w:tc>
        <w:tc>
          <w:tcPr>
            <w:tcW w:w="177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555"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87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153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237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小（3㎝≤胸径＜5㎝）</w:t>
            </w:r>
          </w:p>
        </w:tc>
        <w:tc>
          <w:tcPr>
            <w:tcW w:w="64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株</w:t>
            </w:r>
          </w:p>
        </w:tc>
        <w:tc>
          <w:tcPr>
            <w:tcW w:w="111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10－20</w:t>
            </w:r>
          </w:p>
        </w:tc>
        <w:tc>
          <w:tcPr>
            <w:tcW w:w="177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555"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87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153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237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幼（1㎝≤胸径＜3㎝）</w:t>
            </w:r>
          </w:p>
        </w:tc>
        <w:tc>
          <w:tcPr>
            <w:tcW w:w="64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株</w:t>
            </w:r>
          </w:p>
        </w:tc>
        <w:tc>
          <w:tcPr>
            <w:tcW w:w="111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5－10</w:t>
            </w:r>
          </w:p>
        </w:tc>
        <w:tc>
          <w:tcPr>
            <w:tcW w:w="177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555"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87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153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237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苗（胸径＜1㎝）</w:t>
            </w:r>
          </w:p>
        </w:tc>
        <w:tc>
          <w:tcPr>
            <w:tcW w:w="64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株</w:t>
            </w:r>
          </w:p>
        </w:tc>
        <w:tc>
          <w:tcPr>
            <w:tcW w:w="111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w:t>
            </w:r>
          </w:p>
        </w:tc>
        <w:tc>
          <w:tcPr>
            <w:tcW w:w="177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555"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870"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用材树</w:t>
            </w:r>
          </w:p>
        </w:tc>
        <w:tc>
          <w:tcPr>
            <w:tcW w:w="1530"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杨树、柏树、杉树、泡桐等</w:t>
            </w:r>
          </w:p>
        </w:tc>
        <w:tc>
          <w:tcPr>
            <w:tcW w:w="237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大（胸径≥15㎝）</w:t>
            </w:r>
          </w:p>
        </w:tc>
        <w:tc>
          <w:tcPr>
            <w:tcW w:w="64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株</w:t>
            </w:r>
          </w:p>
        </w:tc>
        <w:tc>
          <w:tcPr>
            <w:tcW w:w="111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150</w:t>
            </w:r>
          </w:p>
        </w:tc>
        <w:tc>
          <w:tcPr>
            <w:tcW w:w="1770"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根据科学合理栽植的原则，每亩最高补偿不超过23000元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555"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87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153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237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中（9㎝≤胸径＜15㎝）</w:t>
            </w:r>
          </w:p>
        </w:tc>
        <w:tc>
          <w:tcPr>
            <w:tcW w:w="64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株</w:t>
            </w:r>
          </w:p>
        </w:tc>
        <w:tc>
          <w:tcPr>
            <w:tcW w:w="111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80－100</w:t>
            </w:r>
          </w:p>
        </w:tc>
        <w:tc>
          <w:tcPr>
            <w:tcW w:w="177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555"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87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153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237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小（3㎝≤胸径＜9㎝）</w:t>
            </w:r>
          </w:p>
        </w:tc>
        <w:tc>
          <w:tcPr>
            <w:tcW w:w="64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株</w:t>
            </w:r>
          </w:p>
        </w:tc>
        <w:tc>
          <w:tcPr>
            <w:tcW w:w="111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50－80</w:t>
            </w:r>
          </w:p>
        </w:tc>
        <w:tc>
          <w:tcPr>
            <w:tcW w:w="177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555"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87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153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237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苗（胸径＜3㎝）</w:t>
            </w:r>
          </w:p>
        </w:tc>
        <w:tc>
          <w:tcPr>
            <w:tcW w:w="64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株</w:t>
            </w:r>
          </w:p>
        </w:tc>
        <w:tc>
          <w:tcPr>
            <w:tcW w:w="111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5－20</w:t>
            </w:r>
          </w:p>
        </w:tc>
        <w:tc>
          <w:tcPr>
            <w:tcW w:w="177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555"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870"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藤（草）本葡萄等</w:t>
            </w:r>
          </w:p>
        </w:tc>
        <w:tc>
          <w:tcPr>
            <w:tcW w:w="153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苗期</w:t>
            </w:r>
          </w:p>
        </w:tc>
        <w:tc>
          <w:tcPr>
            <w:tcW w:w="237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p>
        </w:tc>
        <w:tc>
          <w:tcPr>
            <w:tcW w:w="64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株</w:t>
            </w:r>
          </w:p>
        </w:tc>
        <w:tc>
          <w:tcPr>
            <w:tcW w:w="111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1770"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根据科学合理栽植的原则，盛果期每亩定植不超过330棵，每亩最高补偿不超过23000元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555"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87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153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初果期</w:t>
            </w:r>
          </w:p>
        </w:tc>
        <w:tc>
          <w:tcPr>
            <w:tcW w:w="237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p>
        </w:tc>
        <w:tc>
          <w:tcPr>
            <w:tcW w:w="64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株</w:t>
            </w:r>
          </w:p>
        </w:tc>
        <w:tc>
          <w:tcPr>
            <w:tcW w:w="111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177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555"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87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153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盛果期</w:t>
            </w:r>
          </w:p>
        </w:tc>
        <w:tc>
          <w:tcPr>
            <w:tcW w:w="237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p>
        </w:tc>
        <w:tc>
          <w:tcPr>
            <w:tcW w:w="64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株</w:t>
            </w:r>
          </w:p>
        </w:tc>
        <w:tc>
          <w:tcPr>
            <w:tcW w:w="111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w:t>
            </w:r>
          </w:p>
        </w:tc>
        <w:tc>
          <w:tcPr>
            <w:tcW w:w="177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555"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870"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竹林</w:t>
            </w:r>
          </w:p>
        </w:tc>
        <w:tc>
          <w:tcPr>
            <w:tcW w:w="153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散生</w:t>
            </w:r>
          </w:p>
        </w:tc>
        <w:tc>
          <w:tcPr>
            <w:tcW w:w="237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p>
        </w:tc>
        <w:tc>
          <w:tcPr>
            <w:tcW w:w="64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11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1770"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根据科学合理栽植的原则，每亩最高不超过23000元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555"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87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153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窝竹</w:t>
            </w:r>
          </w:p>
        </w:tc>
        <w:tc>
          <w:tcPr>
            <w:tcW w:w="237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p>
        </w:tc>
        <w:tc>
          <w:tcPr>
            <w:tcW w:w="64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w:t>
            </w:r>
          </w:p>
        </w:tc>
        <w:tc>
          <w:tcPr>
            <w:tcW w:w="111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w:t>
            </w:r>
          </w:p>
        </w:tc>
        <w:tc>
          <w:tcPr>
            <w:tcW w:w="177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555"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870"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木</w:t>
            </w:r>
          </w:p>
        </w:tc>
        <w:tc>
          <w:tcPr>
            <w:tcW w:w="1530"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木子树、槐树、香椿树等</w:t>
            </w:r>
          </w:p>
        </w:tc>
        <w:tc>
          <w:tcPr>
            <w:tcW w:w="237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大（胸径≥15㎝）</w:t>
            </w:r>
          </w:p>
        </w:tc>
        <w:tc>
          <w:tcPr>
            <w:tcW w:w="64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株</w:t>
            </w:r>
          </w:p>
        </w:tc>
        <w:tc>
          <w:tcPr>
            <w:tcW w:w="111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200</w:t>
            </w:r>
          </w:p>
        </w:tc>
        <w:tc>
          <w:tcPr>
            <w:tcW w:w="177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555"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87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153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237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中（9㎝≤胸径＜15㎝）</w:t>
            </w:r>
          </w:p>
        </w:tc>
        <w:tc>
          <w:tcPr>
            <w:tcW w:w="64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株</w:t>
            </w:r>
          </w:p>
        </w:tc>
        <w:tc>
          <w:tcPr>
            <w:tcW w:w="111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30－50</w:t>
            </w:r>
          </w:p>
        </w:tc>
        <w:tc>
          <w:tcPr>
            <w:tcW w:w="177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555"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87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153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237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小（3㎝≤胸径＜9㎝）</w:t>
            </w:r>
          </w:p>
        </w:tc>
        <w:tc>
          <w:tcPr>
            <w:tcW w:w="64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株</w:t>
            </w:r>
          </w:p>
        </w:tc>
        <w:tc>
          <w:tcPr>
            <w:tcW w:w="111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177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555"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87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153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237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苗（胸径＜3㎝）</w:t>
            </w:r>
          </w:p>
        </w:tc>
        <w:tc>
          <w:tcPr>
            <w:tcW w:w="64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株</w:t>
            </w:r>
          </w:p>
        </w:tc>
        <w:tc>
          <w:tcPr>
            <w:tcW w:w="111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2－10</w:t>
            </w:r>
          </w:p>
        </w:tc>
        <w:tc>
          <w:tcPr>
            <w:tcW w:w="177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555"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2400"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多品种树木套种</w:t>
            </w:r>
          </w:p>
        </w:tc>
        <w:tc>
          <w:tcPr>
            <w:tcW w:w="237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p>
        </w:tc>
        <w:tc>
          <w:tcPr>
            <w:tcW w:w="64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p>
        </w:tc>
        <w:tc>
          <w:tcPr>
            <w:tcW w:w="111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分别计算补偿</w:t>
            </w:r>
          </w:p>
        </w:tc>
        <w:tc>
          <w:tcPr>
            <w:tcW w:w="177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累计补偿每亩最高不超过23000元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555"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苗圃补偿标准</w:t>
            </w:r>
          </w:p>
        </w:tc>
        <w:tc>
          <w:tcPr>
            <w:tcW w:w="870"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树木苗圃</w:t>
            </w:r>
          </w:p>
        </w:tc>
        <w:tc>
          <w:tcPr>
            <w:tcW w:w="153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当年种植的</w:t>
            </w:r>
          </w:p>
        </w:tc>
        <w:tc>
          <w:tcPr>
            <w:tcW w:w="237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p>
        </w:tc>
        <w:tc>
          <w:tcPr>
            <w:tcW w:w="64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亩</w:t>
            </w:r>
          </w:p>
        </w:tc>
        <w:tc>
          <w:tcPr>
            <w:tcW w:w="111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3500</w:t>
            </w:r>
          </w:p>
        </w:tc>
        <w:tc>
          <w:tcPr>
            <w:tcW w:w="177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555"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87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153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未定植的</w:t>
            </w:r>
          </w:p>
        </w:tc>
        <w:tc>
          <w:tcPr>
            <w:tcW w:w="237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p>
        </w:tc>
        <w:tc>
          <w:tcPr>
            <w:tcW w:w="64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亩</w:t>
            </w:r>
          </w:p>
        </w:tc>
        <w:tc>
          <w:tcPr>
            <w:tcW w:w="111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4500</w:t>
            </w:r>
          </w:p>
        </w:tc>
        <w:tc>
          <w:tcPr>
            <w:tcW w:w="177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2" w:afterAutospacing="0" w:line="480" w:lineRule="atLeast"/>
        <w:ind w:left="0" w:right="0" w:firstLine="42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2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1．未列品种参照本表中的类似标准执行。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2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2．已枯萎死亡树木不予以补偿。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2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3．发布征地公告后突击栽种的树木不予补偿。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2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4．以盆、钵等种植的花卉、苗木不予补偿，可酌情给予搬运补助。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2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5．超大名贵树木移植补偿费可由征迁双方参照标准协商，协商不成，由评估机构或第三方专业部门评估确定。      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2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6．因征收项目原因，地块内树木需保留现状的，经征迁双方协商，可按市场价收购，协商不成，由评估机构或第三方专业部门参考市场价评估确定。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20"/>
        <w:jc w:val="both"/>
        <w:textAlignment w:val="auto"/>
        <w:rPr>
          <w:rFonts w:hint="eastAsia" w:ascii="仿宋_GB2312" w:hAnsi="仿宋_GB2312" w:eastAsia="仿宋_GB2312" w:cs="仿宋_GB2312"/>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2" w:afterAutospacing="0" w:line="480" w:lineRule="atLeast"/>
        <w:ind w:left="0" w:right="0" w:firstLine="420"/>
        <w:jc w:val="both"/>
        <w:rPr>
          <w:rFonts w:hint="eastAsia" w:ascii="仿宋_GB2312" w:hAnsi="仿宋_GB2312" w:eastAsia="仿宋_GB2312" w:cs="仿宋_GB2312"/>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2" w:afterAutospacing="0" w:line="480" w:lineRule="atLeast"/>
        <w:ind w:left="0" w:right="0" w:firstLine="420"/>
        <w:jc w:val="both"/>
        <w:rPr>
          <w:rFonts w:hint="eastAsia" w:ascii="仿宋_GB2312" w:hAnsi="仿宋_GB2312" w:eastAsia="仿宋_GB2312" w:cs="仿宋_GB2312"/>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2" w:afterAutospacing="0" w:line="480" w:lineRule="atLeast"/>
        <w:ind w:left="0" w:right="0" w:firstLine="420"/>
        <w:jc w:val="both"/>
        <w:rPr>
          <w:rFonts w:hint="eastAsia" w:ascii="仿宋_GB2312" w:hAnsi="仿宋_GB2312" w:eastAsia="仿宋_GB2312" w:cs="仿宋_GB2312"/>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2" w:afterAutospacing="0" w:line="480" w:lineRule="atLeast"/>
        <w:ind w:left="0" w:right="0" w:firstLine="420"/>
        <w:jc w:val="both"/>
        <w:rPr>
          <w:rFonts w:hint="eastAsia" w:ascii="仿宋_GB2312" w:hAnsi="仿宋_GB2312" w:eastAsia="仿宋_GB2312" w:cs="仿宋_GB2312"/>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20"/>
        <w:jc w:val="both"/>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附件4</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20"/>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曾都区主城区范围外集体所有土地上</w:t>
      </w:r>
      <w:r>
        <w:rPr>
          <w:rFonts w:hint="eastAsia" w:ascii="黑体" w:hAnsi="黑体" w:eastAsia="黑体" w:cs="黑体"/>
          <w:sz w:val="32"/>
          <w:szCs w:val="32"/>
          <w:highlight w:val="none"/>
        </w:rPr>
        <w:t>其他附着物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20"/>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征收补偿指导价标准</w:t>
      </w:r>
    </w:p>
    <w:tbl>
      <w:tblPr>
        <w:tblStyle w:val="3"/>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81"/>
        <w:gridCol w:w="1362"/>
        <w:gridCol w:w="1926"/>
        <w:gridCol w:w="728"/>
        <w:gridCol w:w="1194"/>
        <w:gridCol w:w="216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4369" w:type="dxa"/>
            <w:gridSpan w:val="3"/>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类    别</w:t>
            </w:r>
          </w:p>
        </w:tc>
        <w:tc>
          <w:tcPr>
            <w:tcW w:w="728"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w:t>
            </w:r>
          </w:p>
        </w:tc>
        <w:tc>
          <w:tcPr>
            <w:tcW w:w="119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补偿标准（元）</w:t>
            </w:r>
          </w:p>
        </w:tc>
        <w:tc>
          <w:tcPr>
            <w:tcW w:w="2165"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4369" w:type="dxa"/>
            <w:gridSpan w:val="3"/>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72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119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2165"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08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青苗补偿费</w:t>
            </w:r>
          </w:p>
        </w:tc>
        <w:tc>
          <w:tcPr>
            <w:tcW w:w="3288"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棉花、花生、麻类、蔬菜、瓜类、薯类等经济作物</w:t>
            </w:r>
          </w:p>
        </w:tc>
        <w:tc>
          <w:tcPr>
            <w:tcW w:w="728"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亩</w:t>
            </w:r>
          </w:p>
        </w:tc>
        <w:tc>
          <w:tcPr>
            <w:tcW w:w="119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3200</w:t>
            </w:r>
          </w:p>
        </w:tc>
        <w:tc>
          <w:tcPr>
            <w:tcW w:w="2165"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自然形成的坑塘、沟渠、天然水面不予补偿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08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3288"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稻麦类、豆类、油菜、杂粮类粮油作物</w:t>
            </w:r>
          </w:p>
        </w:tc>
        <w:tc>
          <w:tcPr>
            <w:tcW w:w="728"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亩</w:t>
            </w:r>
          </w:p>
        </w:tc>
        <w:tc>
          <w:tcPr>
            <w:tcW w:w="119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2165"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08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3288"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鱼塘</w:t>
            </w:r>
          </w:p>
        </w:tc>
        <w:tc>
          <w:tcPr>
            <w:tcW w:w="728"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亩</w:t>
            </w:r>
          </w:p>
        </w:tc>
        <w:tc>
          <w:tcPr>
            <w:tcW w:w="119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2165"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08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3288"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藕等水生植物</w:t>
            </w:r>
          </w:p>
        </w:tc>
        <w:tc>
          <w:tcPr>
            <w:tcW w:w="728"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亩</w:t>
            </w:r>
          </w:p>
        </w:tc>
        <w:tc>
          <w:tcPr>
            <w:tcW w:w="119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2165"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8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3288"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药材类：天麻、芍药、田七、茴香等</w:t>
            </w:r>
          </w:p>
        </w:tc>
        <w:tc>
          <w:tcPr>
            <w:tcW w:w="728"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亩</w:t>
            </w:r>
          </w:p>
        </w:tc>
        <w:tc>
          <w:tcPr>
            <w:tcW w:w="119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4000－5000</w:t>
            </w:r>
          </w:p>
        </w:tc>
        <w:tc>
          <w:tcPr>
            <w:tcW w:w="216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08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生产设施迁移</w:t>
            </w:r>
          </w:p>
        </w:tc>
        <w:tc>
          <w:tcPr>
            <w:tcW w:w="13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温室大棚</w:t>
            </w:r>
          </w:p>
        </w:tc>
        <w:tc>
          <w:tcPr>
            <w:tcW w:w="1926"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钢架、砖混结构</w:t>
            </w:r>
          </w:p>
        </w:tc>
        <w:tc>
          <w:tcPr>
            <w:tcW w:w="728"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p>
        </w:tc>
        <w:tc>
          <w:tcPr>
            <w:tcW w:w="3359" w:type="dxa"/>
            <w:gridSpan w:val="2"/>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能迁移的按市场价支付迁移费、不能迁移的按市场价进行收购</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8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13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1926"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72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3359" w:type="dxa"/>
            <w:gridSpan w:val="2"/>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8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13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192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竹木结构单层</w:t>
            </w:r>
          </w:p>
        </w:tc>
        <w:tc>
          <w:tcPr>
            <w:tcW w:w="728"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19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216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08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13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192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石棉、竹木结构双层</w:t>
            </w:r>
          </w:p>
        </w:tc>
        <w:tc>
          <w:tcPr>
            <w:tcW w:w="728"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19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216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8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坟墓</w:t>
            </w:r>
          </w:p>
        </w:tc>
        <w:tc>
          <w:tcPr>
            <w:tcW w:w="3288"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有主坟</w:t>
            </w:r>
          </w:p>
        </w:tc>
        <w:tc>
          <w:tcPr>
            <w:tcW w:w="728"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座</w:t>
            </w:r>
          </w:p>
        </w:tc>
        <w:tc>
          <w:tcPr>
            <w:tcW w:w="119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000</w:t>
            </w:r>
          </w:p>
        </w:tc>
        <w:tc>
          <w:tcPr>
            <w:tcW w:w="216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双穴加倍</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8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3288"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水泥硬化坟</w:t>
            </w:r>
          </w:p>
        </w:tc>
        <w:tc>
          <w:tcPr>
            <w:tcW w:w="728"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座</w:t>
            </w:r>
          </w:p>
        </w:tc>
        <w:tc>
          <w:tcPr>
            <w:tcW w:w="119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000</w:t>
            </w:r>
          </w:p>
        </w:tc>
        <w:tc>
          <w:tcPr>
            <w:tcW w:w="216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双穴加倍</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8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田间（堰边）看护房</w:t>
            </w:r>
          </w:p>
        </w:tc>
        <w:tc>
          <w:tcPr>
            <w:tcW w:w="3288"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砖木1（2m高、120mm厚砖墙）</w:t>
            </w:r>
          </w:p>
        </w:tc>
        <w:tc>
          <w:tcPr>
            <w:tcW w:w="728"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19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200</w:t>
            </w:r>
          </w:p>
        </w:tc>
        <w:tc>
          <w:tcPr>
            <w:tcW w:w="2165"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可根据实际高度相应调整</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08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3288"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砖木2（2m高、240mm厚砖墙）</w:t>
            </w:r>
          </w:p>
        </w:tc>
        <w:tc>
          <w:tcPr>
            <w:tcW w:w="728"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19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290</w:t>
            </w:r>
          </w:p>
        </w:tc>
        <w:tc>
          <w:tcPr>
            <w:tcW w:w="2165"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8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3288"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混合1（2m高、120mm厚砖墙）</w:t>
            </w:r>
          </w:p>
        </w:tc>
        <w:tc>
          <w:tcPr>
            <w:tcW w:w="728"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19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300</w:t>
            </w:r>
          </w:p>
        </w:tc>
        <w:tc>
          <w:tcPr>
            <w:tcW w:w="2165"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08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3288"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混合2（2m高、240mm厚砖墙）</w:t>
            </w:r>
          </w:p>
        </w:tc>
        <w:tc>
          <w:tcPr>
            <w:tcW w:w="728"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19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400</w:t>
            </w:r>
          </w:p>
        </w:tc>
        <w:tc>
          <w:tcPr>
            <w:tcW w:w="2165"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08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田间水泥地坪</w:t>
            </w:r>
          </w:p>
        </w:tc>
        <w:tc>
          <w:tcPr>
            <w:tcW w:w="3288"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厚度10cm</w:t>
            </w:r>
          </w:p>
        </w:tc>
        <w:tc>
          <w:tcPr>
            <w:tcW w:w="728"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19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w:t>
            </w:r>
          </w:p>
        </w:tc>
        <w:tc>
          <w:tcPr>
            <w:tcW w:w="2165"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可根据实际厚度相应调整</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8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3288"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厚度20　cm</w:t>
            </w:r>
          </w:p>
        </w:tc>
        <w:tc>
          <w:tcPr>
            <w:tcW w:w="728"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19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80</w:t>
            </w:r>
          </w:p>
        </w:tc>
        <w:tc>
          <w:tcPr>
            <w:tcW w:w="2165"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08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田间围墙</w:t>
            </w:r>
          </w:p>
        </w:tc>
        <w:tc>
          <w:tcPr>
            <w:tcW w:w="3288"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单砖墙</w:t>
            </w:r>
          </w:p>
        </w:tc>
        <w:tc>
          <w:tcPr>
            <w:tcW w:w="728"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19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90</w:t>
            </w:r>
          </w:p>
        </w:tc>
        <w:tc>
          <w:tcPr>
            <w:tcW w:w="2165"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含围墙基础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8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c>
          <w:tcPr>
            <w:tcW w:w="3288"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24cm实心墙</w:t>
            </w:r>
          </w:p>
        </w:tc>
        <w:tc>
          <w:tcPr>
            <w:tcW w:w="728"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19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170</w:t>
            </w:r>
          </w:p>
        </w:tc>
        <w:tc>
          <w:tcPr>
            <w:tcW w:w="2165"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仿宋_GB2312" w:hAnsi="仿宋_GB2312" w:eastAsia="仿宋_GB2312" w:cs="仿宋_GB2312"/>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4369" w:type="dxa"/>
            <w:gridSpan w:val="3"/>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田间厕所</w:t>
            </w:r>
          </w:p>
        </w:tc>
        <w:tc>
          <w:tcPr>
            <w:tcW w:w="728"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p>
        </w:tc>
        <w:tc>
          <w:tcPr>
            <w:tcW w:w="119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参照房屋、建房</w:t>
            </w:r>
          </w:p>
        </w:tc>
        <w:tc>
          <w:tcPr>
            <w:tcW w:w="216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4369" w:type="dxa"/>
            <w:gridSpan w:val="3"/>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田间畜、禽舍等各类棚房</w:t>
            </w:r>
          </w:p>
        </w:tc>
        <w:tc>
          <w:tcPr>
            <w:tcW w:w="728"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19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90－120</w:t>
            </w:r>
          </w:p>
        </w:tc>
        <w:tc>
          <w:tcPr>
            <w:tcW w:w="216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4369" w:type="dxa"/>
            <w:gridSpan w:val="3"/>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田间水池</w:t>
            </w:r>
          </w:p>
        </w:tc>
        <w:tc>
          <w:tcPr>
            <w:tcW w:w="728"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m³</w:t>
            </w:r>
          </w:p>
        </w:tc>
        <w:tc>
          <w:tcPr>
            <w:tcW w:w="119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250</w:t>
            </w:r>
          </w:p>
        </w:tc>
        <w:tc>
          <w:tcPr>
            <w:tcW w:w="216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2" w:afterAutospacing="0" w:line="480" w:lineRule="atLeast"/>
        <w:ind w:left="0" w:right="0" w:firstLine="0"/>
        <w:jc w:val="right"/>
        <w:rPr>
          <w:rFonts w:hint="eastAsia" w:ascii="仿宋_GB2312" w:hAnsi="仿宋_GB2312" w:eastAsia="仿宋_GB2312" w:cs="仿宋_GB2312"/>
          <w:sz w:val="24"/>
          <w:szCs w:val="24"/>
        </w:rPr>
      </w:pPr>
    </w:p>
    <w:p>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AC6413"/>
    <w:multiLevelType w:val="singleLevel"/>
    <w:tmpl w:val="72AC641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jNTBiMDI4MzdmMDgwZjJiNzdhZDZmNWU4ODA0MzcifQ=="/>
    <w:docVar w:name="KSO_WPS_MARK_KEY" w:val="20f483eb-b2b9-4edf-a54d-fa2623904609"/>
  </w:docVars>
  <w:rsids>
    <w:rsidRoot w:val="00000000"/>
    <w:rsid w:val="002219B1"/>
    <w:rsid w:val="02C071CD"/>
    <w:rsid w:val="079906F3"/>
    <w:rsid w:val="0A031808"/>
    <w:rsid w:val="0BFA2725"/>
    <w:rsid w:val="11AF58C0"/>
    <w:rsid w:val="124F0EBB"/>
    <w:rsid w:val="125723AE"/>
    <w:rsid w:val="12FE5ABC"/>
    <w:rsid w:val="143651B7"/>
    <w:rsid w:val="15BE2D09"/>
    <w:rsid w:val="1699290F"/>
    <w:rsid w:val="1C672639"/>
    <w:rsid w:val="1D8A16E1"/>
    <w:rsid w:val="1F6A7DFD"/>
    <w:rsid w:val="24FC303A"/>
    <w:rsid w:val="25B667BB"/>
    <w:rsid w:val="27611C38"/>
    <w:rsid w:val="34394126"/>
    <w:rsid w:val="39622382"/>
    <w:rsid w:val="45A16D98"/>
    <w:rsid w:val="493D7EB8"/>
    <w:rsid w:val="495C24C3"/>
    <w:rsid w:val="49FB151C"/>
    <w:rsid w:val="509D1159"/>
    <w:rsid w:val="51FF5DF2"/>
    <w:rsid w:val="53F92DD1"/>
    <w:rsid w:val="55A53512"/>
    <w:rsid w:val="56796ABF"/>
    <w:rsid w:val="569C64A4"/>
    <w:rsid w:val="56D26ED9"/>
    <w:rsid w:val="585B234B"/>
    <w:rsid w:val="59A3360E"/>
    <w:rsid w:val="5D8D53A5"/>
    <w:rsid w:val="60A12D8E"/>
    <w:rsid w:val="68C30806"/>
    <w:rsid w:val="6CF0469A"/>
    <w:rsid w:val="74E91B8A"/>
    <w:rsid w:val="7A913574"/>
    <w:rsid w:val="7C86358B"/>
    <w:rsid w:val="7E7D0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4715</Words>
  <Characters>5197</Characters>
  <Lines>0</Lines>
  <Paragraphs>0</Paragraphs>
  <TotalTime>73</TotalTime>
  <ScaleCrop>false</ScaleCrop>
  <LinksUpToDate>false</LinksUpToDate>
  <CharactersWithSpaces>5202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2024-02-28T03:33:00Z</dcterms:created>
  <dc:creator>T</dc:creator>
  <cp:lastModifiedBy>李启航15586692525</cp:lastModifiedBy>
  <dcterms:modified xsi:type="dcterms:W3CDTF">2024-04-02T02:40:45Z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F9A699E5134C475198DE8F8BE5DA0D12_13</vt:lpwstr>
  </property>
</Properties>
</file>