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F69B2D">
      <w:pPr>
        <w:pStyle w:val="8"/>
        <w:spacing w:line="600" w:lineRule="exact"/>
        <w:jc w:val="center"/>
        <w:rPr>
          <w:rFonts w:hint="eastAsia" w:cs="华文中宋" w:asciiTheme="minorEastAsia" w:hAnsiTheme="minorEastAsia" w:eastAsiaTheme="minorEastAsia"/>
          <w:b w:val="0"/>
          <w:bCs w:val="0"/>
          <w:sz w:val="44"/>
          <w:szCs w:val="44"/>
        </w:rPr>
      </w:pPr>
      <w:bookmarkStart w:id="0" w:name="_Toc8411"/>
      <w:bookmarkStart w:id="1" w:name="_Toc23652"/>
      <w:bookmarkStart w:id="2" w:name="_Toc10552"/>
      <w:bookmarkStart w:id="3" w:name="_Toc20334"/>
      <w:bookmarkStart w:id="4" w:name="_Toc16000"/>
      <w:bookmarkStart w:id="5" w:name="_Toc10932"/>
      <w:bookmarkStart w:id="6" w:name="_Toc32547"/>
      <w:bookmarkStart w:id="7" w:name="_Toc3800"/>
      <w:bookmarkStart w:id="8" w:name="_Toc26466"/>
      <w:bookmarkStart w:id="81" w:name="_GoBack"/>
      <w:bookmarkEnd w:id="81"/>
    </w:p>
    <w:p w14:paraId="50D10EA8">
      <w:pPr>
        <w:pStyle w:val="8"/>
        <w:spacing w:line="600" w:lineRule="exact"/>
        <w:jc w:val="center"/>
        <w:rPr>
          <w:rFonts w:hint="eastAsia" w:cs="华文中宋" w:asciiTheme="minorEastAsia" w:hAnsiTheme="minorEastAsia" w:eastAsiaTheme="minorEastAsia"/>
          <w:b w:val="0"/>
          <w:bCs w:val="0"/>
          <w:sz w:val="44"/>
          <w:szCs w:val="44"/>
        </w:rPr>
      </w:pPr>
    </w:p>
    <w:p w14:paraId="1D78BDF3">
      <w:pPr>
        <w:pStyle w:val="8"/>
        <w:spacing w:line="600" w:lineRule="exact"/>
        <w:jc w:val="center"/>
        <w:rPr>
          <w:rFonts w:hint="eastAsia" w:cs="华文中宋" w:asciiTheme="minorEastAsia" w:hAnsiTheme="minorEastAsia" w:eastAsiaTheme="minorEastAsia"/>
          <w:b w:val="0"/>
          <w:bCs w:val="0"/>
          <w:sz w:val="44"/>
          <w:szCs w:val="44"/>
        </w:rPr>
      </w:pPr>
    </w:p>
    <w:p w14:paraId="26B59CC7">
      <w:pPr>
        <w:pStyle w:val="8"/>
        <w:spacing w:line="600" w:lineRule="exact"/>
        <w:jc w:val="center"/>
        <w:rPr>
          <w:rFonts w:hint="eastAsia" w:cs="华文中宋" w:asciiTheme="minorEastAsia" w:hAnsiTheme="minorEastAsia" w:eastAsiaTheme="minorEastAsia"/>
          <w:b w:val="0"/>
          <w:bCs w:val="0"/>
          <w:sz w:val="44"/>
          <w:szCs w:val="44"/>
        </w:rPr>
      </w:pPr>
    </w:p>
    <w:p w14:paraId="0D699B15">
      <w:pPr>
        <w:pStyle w:val="8"/>
        <w:spacing w:line="600" w:lineRule="exact"/>
        <w:jc w:val="center"/>
        <w:rPr>
          <w:rFonts w:hint="eastAsia" w:cs="华文中宋" w:asciiTheme="minorEastAsia" w:hAnsiTheme="minorEastAsia" w:eastAsiaTheme="minorEastAsia"/>
          <w:b w:val="0"/>
          <w:bCs w:val="0"/>
          <w:sz w:val="44"/>
          <w:szCs w:val="44"/>
        </w:rPr>
      </w:pPr>
    </w:p>
    <w:p w14:paraId="7F5BBC0E">
      <w:pPr>
        <w:pStyle w:val="8"/>
        <w:spacing w:line="600" w:lineRule="exact"/>
        <w:jc w:val="center"/>
        <w:rPr>
          <w:rFonts w:hint="eastAsia" w:ascii="华文中宋" w:hAnsi="华文中宋" w:eastAsia="华文中宋" w:cs="华文中宋"/>
          <w:b/>
          <w:bCs/>
          <w:sz w:val="48"/>
          <w:szCs w:val="48"/>
        </w:rPr>
      </w:pPr>
      <w:r>
        <w:rPr>
          <w:rFonts w:hint="eastAsia" w:ascii="华文中宋" w:hAnsi="华文中宋" w:eastAsia="华文中宋" w:cs="华文中宋"/>
          <w:b/>
          <w:bCs/>
          <w:sz w:val="48"/>
          <w:szCs w:val="48"/>
        </w:rPr>
        <w:t>曾都区林业“十四五”专项规划</w:t>
      </w:r>
      <w:bookmarkEnd w:id="0"/>
      <w:bookmarkEnd w:id="1"/>
      <w:bookmarkEnd w:id="2"/>
      <w:bookmarkEnd w:id="3"/>
      <w:bookmarkEnd w:id="4"/>
      <w:bookmarkEnd w:id="5"/>
      <w:bookmarkEnd w:id="6"/>
      <w:bookmarkEnd w:id="7"/>
      <w:bookmarkEnd w:id="8"/>
    </w:p>
    <w:p w14:paraId="042AB789">
      <w:pPr>
        <w:pStyle w:val="8"/>
        <w:spacing w:line="600" w:lineRule="exact"/>
        <w:jc w:val="center"/>
        <w:rPr>
          <w:rFonts w:hint="eastAsia" w:cs="华文中宋" w:asciiTheme="minorEastAsia" w:hAnsiTheme="minorEastAsia" w:eastAsiaTheme="minorEastAsia"/>
          <w:b w:val="0"/>
          <w:bCs w:val="0"/>
          <w:sz w:val="44"/>
          <w:szCs w:val="44"/>
        </w:rPr>
      </w:pPr>
    </w:p>
    <w:p w14:paraId="03C50FB0">
      <w:pPr>
        <w:pStyle w:val="8"/>
        <w:spacing w:line="600" w:lineRule="exact"/>
        <w:jc w:val="center"/>
        <w:rPr>
          <w:rFonts w:hint="eastAsia" w:cs="华文中宋" w:asciiTheme="minorEastAsia" w:hAnsiTheme="minorEastAsia" w:eastAsiaTheme="minorEastAsia"/>
          <w:b w:val="0"/>
          <w:bCs w:val="0"/>
          <w:sz w:val="44"/>
          <w:szCs w:val="44"/>
        </w:rPr>
      </w:pPr>
    </w:p>
    <w:p w14:paraId="74678E6C">
      <w:pPr>
        <w:pStyle w:val="8"/>
        <w:spacing w:line="600" w:lineRule="exact"/>
        <w:jc w:val="center"/>
        <w:rPr>
          <w:rFonts w:hint="eastAsia" w:cs="华文中宋" w:asciiTheme="minorEastAsia" w:hAnsiTheme="minorEastAsia" w:eastAsiaTheme="minorEastAsia"/>
          <w:b w:val="0"/>
          <w:bCs w:val="0"/>
          <w:sz w:val="44"/>
          <w:szCs w:val="44"/>
        </w:rPr>
      </w:pPr>
    </w:p>
    <w:p w14:paraId="0E0D4490">
      <w:pPr>
        <w:pStyle w:val="8"/>
        <w:spacing w:line="600" w:lineRule="exact"/>
        <w:jc w:val="center"/>
        <w:rPr>
          <w:rFonts w:hint="eastAsia" w:cs="华文中宋" w:asciiTheme="minorEastAsia" w:hAnsiTheme="minorEastAsia" w:eastAsiaTheme="minorEastAsia"/>
          <w:b w:val="0"/>
          <w:bCs w:val="0"/>
          <w:sz w:val="44"/>
          <w:szCs w:val="44"/>
        </w:rPr>
      </w:pPr>
    </w:p>
    <w:p w14:paraId="2B6D1191">
      <w:pPr>
        <w:pStyle w:val="8"/>
        <w:spacing w:line="600" w:lineRule="exact"/>
        <w:jc w:val="center"/>
        <w:rPr>
          <w:rFonts w:hint="eastAsia" w:cs="华文中宋" w:asciiTheme="minorEastAsia" w:hAnsiTheme="minorEastAsia" w:eastAsiaTheme="minorEastAsia"/>
          <w:b w:val="0"/>
          <w:bCs w:val="0"/>
          <w:sz w:val="44"/>
          <w:szCs w:val="44"/>
        </w:rPr>
      </w:pPr>
    </w:p>
    <w:p w14:paraId="299B8324">
      <w:pPr>
        <w:pStyle w:val="8"/>
        <w:spacing w:line="600" w:lineRule="exact"/>
        <w:jc w:val="center"/>
        <w:rPr>
          <w:rFonts w:hint="eastAsia" w:cs="华文中宋" w:asciiTheme="minorEastAsia" w:hAnsiTheme="minorEastAsia" w:eastAsiaTheme="minorEastAsia"/>
          <w:b w:val="0"/>
          <w:bCs w:val="0"/>
          <w:sz w:val="44"/>
          <w:szCs w:val="44"/>
        </w:rPr>
      </w:pPr>
    </w:p>
    <w:p w14:paraId="35018D8D">
      <w:pPr>
        <w:pStyle w:val="8"/>
        <w:spacing w:line="600" w:lineRule="exact"/>
        <w:jc w:val="center"/>
        <w:rPr>
          <w:rFonts w:hint="eastAsia" w:cs="华文中宋" w:asciiTheme="minorEastAsia" w:hAnsiTheme="minorEastAsia" w:eastAsiaTheme="minorEastAsia"/>
          <w:b w:val="0"/>
          <w:bCs w:val="0"/>
          <w:sz w:val="44"/>
          <w:szCs w:val="44"/>
        </w:rPr>
      </w:pPr>
    </w:p>
    <w:p w14:paraId="3179BCA1">
      <w:pPr>
        <w:pStyle w:val="8"/>
        <w:spacing w:line="600" w:lineRule="exact"/>
        <w:jc w:val="center"/>
        <w:rPr>
          <w:rFonts w:hint="eastAsia" w:cs="华文中宋" w:asciiTheme="minorEastAsia" w:hAnsiTheme="minorEastAsia" w:eastAsiaTheme="minorEastAsia"/>
          <w:b w:val="0"/>
          <w:bCs w:val="0"/>
          <w:sz w:val="44"/>
          <w:szCs w:val="44"/>
        </w:rPr>
      </w:pPr>
    </w:p>
    <w:p w14:paraId="0036354D">
      <w:pPr>
        <w:pStyle w:val="8"/>
        <w:spacing w:line="600" w:lineRule="exact"/>
        <w:jc w:val="center"/>
        <w:rPr>
          <w:rFonts w:hint="eastAsia" w:cs="华文中宋" w:asciiTheme="minorEastAsia" w:hAnsiTheme="minorEastAsia" w:eastAsiaTheme="minorEastAsia"/>
          <w:b w:val="0"/>
          <w:bCs w:val="0"/>
          <w:sz w:val="44"/>
          <w:szCs w:val="44"/>
        </w:rPr>
      </w:pPr>
    </w:p>
    <w:p w14:paraId="34E236A5">
      <w:pPr>
        <w:pStyle w:val="8"/>
        <w:spacing w:line="600" w:lineRule="exact"/>
        <w:jc w:val="center"/>
        <w:rPr>
          <w:rFonts w:hint="eastAsia" w:cs="华文中宋" w:asciiTheme="minorEastAsia" w:hAnsiTheme="minorEastAsia" w:eastAsiaTheme="minorEastAsia"/>
          <w:b w:val="0"/>
          <w:bCs w:val="0"/>
          <w:sz w:val="44"/>
          <w:szCs w:val="44"/>
        </w:rPr>
      </w:pPr>
    </w:p>
    <w:p w14:paraId="364101EE">
      <w:pPr>
        <w:pStyle w:val="8"/>
        <w:spacing w:line="600" w:lineRule="exact"/>
        <w:jc w:val="center"/>
        <w:rPr>
          <w:rFonts w:hint="eastAsia" w:cs="华文中宋" w:asciiTheme="minorEastAsia" w:hAnsiTheme="minorEastAsia" w:eastAsiaTheme="minorEastAsia"/>
          <w:b w:val="0"/>
          <w:bCs w:val="0"/>
          <w:sz w:val="44"/>
          <w:szCs w:val="44"/>
        </w:rPr>
      </w:pPr>
    </w:p>
    <w:p w14:paraId="385C8AB0">
      <w:pPr>
        <w:pStyle w:val="8"/>
        <w:spacing w:line="600" w:lineRule="exact"/>
        <w:jc w:val="center"/>
        <w:rPr>
          <w:rFonts w:hint="eastAsia" w:cs="华文中宋" w:asciiTheme="minorEastAsia" w:hAnsiTheme="minorEastAsia" w:eastAsiaTheme="minorEastAsia"/>
          <w:b w:val="0"/>
          <w:bCs w:val="0"/>
          <w:sz w:val="44"/>
          <w:szCs w:val="44"/>
        </w:rPr>
      </w:pPr>
    </w:p>
    <w:p w14:paraId="2DA20FBA">
      <w:pPr>
        <w:pStyle w:val="8"/>
        <w:spacing w:line="600" w:lineRule="exact"/>
        <w:jc w:val="center"/>
        <w:rPr>
          <w:rFonts w:hint="eastAsia" w:cs="华文中宋" w:asciiTheme="minorEastAsia" w:hAnsiTheme="minorEastAsia" w:eastAsiaTheme="minorEastAsia"/>
          <w:b w:val="0"/>
          <w:bCs w:val="0"/>
          <w:sz w:val="44"/>
          <w:szCs w:val="44"/>
        </w:rPr>
      </w:pPr>
    </w:p>
    <w:p w14:paraId="030B6366">
      <w:pPr>
        <w:pStyle w:val="8"/>
        <w:spacing w:line="600" w:lineRule="exact"/>
        <w:jc w:val="center"/>
        <w:rPr>
          <w:rFonts w:hint="eastAsia" w:cs="华文中宋" w:asciiTheme="minorEastAsia" w:hAnsiTheme="minorEastAsia" w:eastAsiaTheme="minorEastAsia"/>
          <w:b w:val="0"/>
          <w:bCs w:val="0"/>
          <w:sz w:val="44"/>
          <w:szCs w:val="44"/>
        </w:rPr>
      </w:pPr>
    </w:p>
    <w:p w14:paraId="3DB532AF">
      <w:pPr>
        <w:pStyle w:val="8"/>
        <w:spacing w:line="600" w:lineRule="exact"/>
        <w:jc w:val="center"/>
        <w:rPr>
          <w:rFonts w:hint="eastAsia" w:cs="华文中宋" w:asciiTheme="minorEastAsia" w:hAnsiTheme="minorEastAsia" w:eastAsiaTheme="minorEastAsia"/>
          <w:b w:val="0"/>
          <w:bCs w:val="0"/>
          <w:sz w:val="44"/>
          <w:szCs w:val="44"/>
        </w:rPr>
      </w:pPr>
    </w:p>
    <w:p w14:paraId="520078CF">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w:t>
      </w:r>
    </w:p>
    <w:p w14:paraId="306D74F8">
      <w:pPr>
        <w:spacing w:line="600" w:lineRule="exact"/>
        <w:jc w:val="center"/>
        <w:outlineLvl w:val="0"/>
        <w:rPr>
          <w:rFonts w:hint="eastAsia" w:ascii="华文中宋" w:hAnsi="华文中宋" w:eastAsia="华文中宋" w:cs="华文中宋"/>
          <w:b w:val="0"/>
          <w:bCs w:val="0"/>
          <w:sz w:val="36"/>
          <w:szCs w:val="36"/>
        </w:rPr>
      </w:pPr>
      <w:bookmarkStart w:id="9" w:name="_Toc15850"/>
      <w:bookmarkStart w:id="10" w:name="_Toc18147"/>
      <w:bookmarkStart w:id="11" w:name="_Toc27405"/>
      <w:bookmarkStart w:id="12" w:name="_Toc8252"/>
      <w:bookmarkStart w:id="13" w:name="_Toc15599"/>
      <w:r>
        <w:rPr>
          <w:rFonts w:hint="eastAsia" w:ascii="华文中宋" w:hAnsi="华文中宋" w:eastAsia="华文中宋" w:cs="华文中宋"/>
          <w:b w:val="0"/>
          <w:bCs w:val="0"/>
          <w:sz w:val="36"/>
          <w:szCs w:val="36"/>
        </w:rPr>
        <w:t>前</w:t>
      </w:r>
      <w:r>
        <w:rPr>
          <w:rFonts w:hint="eastAsia" w:ascii="华文中宋" w:hAnsi="华文中宋" w:eastAsia="华文中宋" w:cs="华文中宋"/>
          <w:b w:val="0"/>
          <w:bCs w:val="0"/>
          <w:sz w:val="36"/>
          <w:szCs w:val="36"/>
          <w:lang w:val="en-US" w:eastAsia="zh-CN"/>
        </w:rPr>
        <w:t xml:space="preserve">  </w:t>
      </w:r>
      <w:r>
        <w:rPr>
          <w:rFonts w:hint="eastAsia" w:ascii="华文中宋" w:hAnsi="华文中宋" w:eastAsia="华文中宋" w:cs="华文中宋"/>
          <w:b w:val="0"/>
          <w:bCs w:val="0"/>
          <w:sz w:val="36"/>
          <w:szCs w:val="36"/>
        </w:rPr>
        <w:t>言</w:t>
      </w:r>
      <w:bookmarkEnd w:id="9"/>
      <w:bookmarkEnd w:id="10"/>
      <w:bookmarkEnd w:id="11"/>
      <w:bookmarkEnd w:id="12"/>
      <w:bookmarkEnd w:id="13"/>
    </w:p>
    <w:p w14:paraId="1353DC25">
      <w:pPr>
        <w:pStyle w:val="2"/>
        <w:rPr>
          <w:rFonts w:hint="eastAsia"/>
          <w:b w:val="0"/>
          <w:bCs w:val="0"/>
        </w:rPr>
      </w:pPr>
    </w:p>
    <w:p w14:paraId="20CE2214">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十四五”是我区深入贯彻党的十九大和十九届二中、三中、四中、五中全会精神，践行“绿水青山就是金山银山”理念，全面开展生态文明建设的关键时期，为认真贯彻落实《曾都区“十四五”规划编制工作方案》文件精神，促进林业事业长期平稳较快发展，大力推进林业生态保护修复、依法治林，科技兴林，全面提升林业经济结构，结合我区林业发展实际，制定本规划。</w:t>
      </w:r>
    </w:p>
    <w:p w14:paraId="3DA4C6F6">
      <w:pPr>
        <w:pStyle w:val="2"/>
        <w:spacing w:line="600" w:lineRule="exact"/>
        <w:ind w:firstLine="643"/>
        <w:rPr>
          <w:rFonts w:ascii="仿宋_GB2312" w:hAnsi="仿宋_GB2312" w:eastAsia="仿宋_GB2312" w:cs="仿宋_GB2312"/>
          <w:b w:val="0"/>
          <w:bCs w:val="0"/>
        </w:rPr>
      </w:pPr>
    </w:p>
    <w:p w14:paraId="6C4C67D5">
      <w:pPr>
        <w:spacing w:line="600" w:lineRule="exact"/>
        <w:rPr>
          <w:rFonts w:ascii="仿宋_GB2312" w:hAnsi="仿宋_GB2312" w:eastAsia="仿宋_GB2312" w:cs="仿宋_GB2312"/>
          <w:b w:val="0"/>
          <w:bCs w:val="0"/>
          <w:sz w:val="32"/>
          <w:szCs w:val="32"/>
        </w:rPr>
      </w:pPr>
    </w:p>
    <w:p w14:paraId="1C1FA548">
      <w:pPr>
        <w:pStyle w:val="2"/>
        <w:spacing w:line="600" w:lineRule="exact"/>
        <w:ind w:firstLine="643"/>
        <w:rPr>
          <w:rFonts w:ascii="仿宋_GB2312" w:hAnsi="仿宋_GB2312" w:eastAsia="仿宋_GB2312" w:cs="仿宋_GB2312"/>
          <w:b w:val="0"/>
          <w:bCs w:val="0"/>
        </w:rPr>
      </w:pPr>
    </w:p>
    <w:p w14:paraId="25ED7AFD">
      <w:pPr>
        <w:spacing w:line="600" w:lineRule="exact"/>
        <w:rPr>
          <w:rFonts w:ascii="仿宋_GB2312" w:hAnsi="仿宋_GB2312" w:eastAsia="仿宋_GB2312" w:cs="仿宋_GB2312"/>
          <w:b w:val="0"/>
          <w:bCs w:val="0"/>
          <w:sz w:val="32"/>
          <w:szCs w:val="32"/>
        </w:rPr>
      </w:pPr>
    </w:p>
    <w:p w14:paraId="055F278B">
      <w:pPr>
        <w:pStyle w:val="2"/>
        <w:spacing w:line="600" w:lineRule="exact"/>
        <w:ind w:firstLine="643"/>
        <w:rPr>
          <w:rFonts w:ascii="仿宋_GB2312" w:hAnsi="仿宋_GB2312" w:eastAsia="仿宋_GB2312" w:cs="仿宋_GB2312"/>
          <w:b w:val="0"/>
          <w:bCs w:val="0"/>
        </w:rPr>
      </w:pPr>
    </w:p>
    <w:p w14:paraId="3E5BD23F">
      <w:pPr>
        <w:spacing w:line="600" w:lineRule="exact"/>
        <w:rPr>
          <w:rFonts w:ascii="仿宋_GB2312" w:hAnsi="仿宋_GB2312" w:eastAsia="仿宋_GB2312" w:cs="仿宋_GB2312"/>
          <w:b w:val="0"/>
          <w:bCs w:val="0"/>
          <w:sz w:val="32"/>
          <w:szCs w:val="32"/>
        </w:rPr>
      </w:pPr>
    </w:p>
    <w:p w14:paraId="035C6A0F">
      <w:pPr>
        <w:pStyle w:val="2"/>
        <w:spacing w:line="600" w:lineRule="exact"/>
        <w:ind w:firstLine="0" w:firstLineChars="0"/>
        <w:rPr>
          <w:rFonts w:ascii="仿宋_GB2312" w:hAnsi="仿宋_GB2312" w:eastAsia="仿宋_GB2312" w:cs="仿宋_GB2312"/>
          <w:b w:val="0"/>
          <w:bCs w:val="0"/>
        </w:rPr>
      </w:pPr>
    </w:p>
    <w:p w14:paraId="160462F5">
      <w:pPr>
        <w:spacing w:line="600" w:lineRule="exact"/>
        <w:rPr>
          <w:rFonts w:ascii="仿宋_GB2312" w:hAnsi="仿宋_GB2312" w:eastAsia="仿宋_GB2312" w:cs="仿宋_GB2312"/>
          <w:b w:val="0"/>
          <w:bCs w:val="0"/>
          <w:sz w:val="32"/>
          <w:szCs w:val="32"/>
        </w:rPr>
      </w:pPr>
    </w:p>
    <w:p w14:paraId="19A73185">
      <w:pPr>
        <w:spacing w:line="600" w:lineRule="exact"/>
        <w:jc w:val="center"/>
        <w:rPr>
          <w:rFonts w:ascii="黑体" w:hAnsi="黑体" w:eastAsia="黑体" w:cs="黑体"/>
          <w:b w:val="0"/>
          <w:bCs w:val="0"/>
          <w:sz w:val="44"/>
          <w:szCs w:val="44"/>
        </w:rPr>
        <w:sectPr>
          <w:pgSz w:w="11906" w:h="16838"/>
          <w:pgMar w:top="1701" w:right="1587" w:bottom="1474" w:left="1587" w:header="851" w:footer="992" w:gutter="0"/>
          <w:pgNumType w:start="1"/>
          <w:cols w:space="0" w:num="1"/>
          <w:docGrid w:linePitch="312" w:charSpace="0"/>
        </w:sectPr>
      </w:pPr>
    </w:p>
    <w:p w14:paraId="52DD7011">
      <w:pPr>
        <w:spacing w:line="600" w:lineRule="exact"/>
        <w:jc w:val="center"/>
        <w:rPr>
          <w:rFonts w:hint="eastAsia" w:ascii="黑体" w:hAnsi="黑体" w:eastAsia="黑体" w:cs="黑体"/>
          <w:b w:val="0"/>
          <w:bCs w:val="0"/>
          <w:sz w:val="44"/>
          <w:szCs w:val="44"/>
        </w:rPr>
      </w:pPr>
      <w:r>
        <w:rPr>
          <w:rFonts w:hint="eastAsia" w:ascii="黑体" w:hAnsi="黑体" w:eastAsia="黑体" w:cs="黑体"/>
          <w:b w:val="0"/>
          <w:bCs w:val="0"/>
          <w:sz w:val="44"/>
          <w:szCs w:val="44"/>
        </w:rPr>
        <w:t>目</w:t>
      </w:r>
      <w:r>
        <w:rPr>
          <w:rFonts w:hint="eastAsia" w:ascii="黑体" w:hAnsi="黑体" w:eastAsia="黑体" w:cs="黑体"/>
          <w:b w:val="0"/>
          <w:bCs w:val="0"/>
          <w:sz w:val="44"/>
          <w:szCs w:val="44"/>
          <w:lang w:val="en-US" w:eastAsia="zh-CN"/>
        </w:rPr>
        <w:t xml:space="preserve">  </w:t>
      </w:r>
      <w:r>
        <w:rPr>
          <w:rFonts w:hint="eastAsia" w:ascii="黑体" w:hAnsi="黑体" w:eastAsia="黑体" w:cs="黑体"/>
          <w:b w:val="0"/>
          <w:bCs w:val="0"/>
          <w:sz w:val="44"/>
          <w:szCs w:val="44"/>
        </w:rPr>
        <w:t>录</w:t>
      </w:r>
    </w:p>
    <w:p w14:paraId="760E3BA2">
      <w:pPr>
        <w:pStyle w:val="10"/>
        <w:tabs>
          <w:tab w:val="right" w:leader="dot" w:pos="8732"/>
        </w:tabs>
      </w:pPr>
      <w:r>
        <w:rPr>
          <w:rFonts w:hint="eastAsia" w:ascii="宋体" w:hAnsi="宋体" w:eastAsia="宋体" w:cs="宋体"/>
          <w:b w:val="0"/>
          <w:bCs w:val="0"/>
          <w:sz w:val="30"/>
          <w:szCs w:val="30"/>
        </w:rPr>
        <w:fldChar w:fldCharType="begin"/>
      </w:r>
      <w:r>
        <w:rPr>
          <w:rFonts w:hint="eastAsia" w:ascii="宋体" w:hAnsi="宋体" w:eastAsia="宋体" w:cs="宋体"/>
          <w:b w:val="0"/>
          <w:bCs w:val="0"/>
          <w:sz w:val="30"/>
          <w:szCs w:val="30"/>
        </w:rPr>
        <w:instrText xml:space="preserve">TOC \o "1-2" \h \u </w:instrText>
      </w:r>
      <w:r>
        <w:rPr>
          <w:rFonts w:hint="eastAsia" w:ascii="宋体" w:hAnsi="宋体" w:eastAsia="宋体" w:cs="宋体"/>
          <w:b w:val="0"/>
          <w:bCs w:val="0"/>
          <w:sz w:val="30"/>
          <w:szCs w:val="30"/>
        </w:rPr>
        <w:fldChar w:fldCharType="separate"/>
      </w:r>
    </w:p>
    <w:p w14:paraId="1381E676">
      <w:pPr>
        <w:pStyle w:val="10"/>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_Toc24435 </w:instrText>
      </w:r>
      <w:r>
        <w:rPr>
          <w:rFonts w:hint="eastAsia" w:ascii="宋体" w:hAnsi="宋体" w:eastAsia="宋体" w:cs="宋体"/>
          <w:bCs w:val="0"/>
          <w:sz w:val="32"/>
          <w:szCs w:val="32"/>
        </w:rPr>
        <w:fldChar w:fldCharType="separate"/>
      </w:r>
      <w:r>
        <w:rPr>
          <w:rFonts w:hint="eastAsia" w:ascii="宋体" w:hAnsi="宋体" w:eastAsia="宋体" w:cs="宋体"/>
          <w:bCs w:val="0"/>
          <w:sz w:val="32"/>
          <w:szCs w:val="32"/>
        </w:rPr>
        <w:t>第一章</w:t>
      </w:r>
      <w:r>
        <w:rPr>
          <w:rFonts w:hint="eastAsia" w:ascii="宋体" w:hAnsi="宋体" w:eastAsia="宋体" w:cs="宋体"/>
          <w:bCs w:val="0"/>
          <w:sz w:val="32"/>
          <w:szCs w:val="32"/>
          <w:lang w:val="en-US" w:eastAsia="zh-CN"/>
        </w:rPr>
        <w:t xml:space="preserve">  </w:t>
      </w:r>
      <w:r>
        <w:rPr>
          <w:rFonts w:hint="eastAsia" w:ascii="宋体" w:hAnsi="宋体" w:eastAsia="宋体" w:cs="宋体"/>
          <w:bCs w:val="0"/>
          <w:sz w:val="32"/>
          <w:szCs w:val="32"/>
        </w:rPr>
        <w:t>“十三五”林业发展简要回顾</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_Toc24435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3573643C">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_Toc25117 </w:instrText>
      </w:r>
      <w:r>
        <w:rPr>
          <w:rFonts w:hint="eastAsia" w:ascii="宋体" w:hAnsi="宋体" w:eastAsia="宋体" w:cs="宋体"/>
          <w:bCs w:val="0"/>
          <w:sz w:val="32"/>
          <w:szCs w:val="32"/>
        </w:rPr>
        <w:fldChar w:fldCharType="separate"/>
      </w:r>
      <w:r>
        <w:rPr>
          <w:rFonts w:hint="eastAsia" w:ascii="宋体" w:hAnsi="宋体" w:eastAsia="宋体" w:cs="宋体"/>
          <w:bCs/>
          <w:sz w:val="32"/>
          <w:szCs w:val="32"/>
        </w:rPr>
        <w:t>一、取得的成绩</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_Toc25117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76B4ECA3">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_Toc13545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二、存在的主要问题及原因分析</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_Toc13545 </w:instrText>
      </w:r>
      <w:r>
        <w:rPr>
          <w:rFonts w:hint="eastAsia" w:ascii="宋体" w:hAnsi="宋体" w:eastAsia="宋体" w:cs="宋体"/>
          <w:sz w:val="32"/>
          <w:szCs w:val="32"/>
        </w:rPr>
        <w:fldChar w:fldCharType="separate"/>
      </w:r>
      <w:r>
        <w:rPr>
          <w:rFonts w:hint="eastAsia" w:ascii="宋体" w:hAnsi="宋体" w:eastAsia="宋体" w:cs="宋体"/>
          <w:sz w:val="32"/>
          <w:szCs w:val="32"/>
        </w:rPr>
        <w:t>4</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6557F34A">
      <w:pPr>
        <w:pStyle w:val="10"/>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_Toc8155 </w:instrText>
      </w:r>
      <w:r>
        <w:rPr>
          <w:rFonts w:hint="eastAsia" w:ascii="宋体" w:hAnsi="宋体" w:eastAsia="宋体" w:cs="宋体"/>
          <w:bCs w:val="0"/>
          <w:sz w:val="32"/>
          <w:szCs w:val="32"/>
        </w:rPr>
        <w:fldChar w:fldCharType="separate"/>
      </w:r>
      <w:r>
        <w:rPr>
          <w:rFonts w:hint="eastAsia" w:ascii="宋体" w:hAnsi="宋体" w:eastAsia="宋体" w:cs="宋体"/>
          <w:bCs w:val="0"/>
          <w:sz w:val="32"/>
          <w:szCs w:val="32"/>
        </w:rPr>
        <w:t>第二章</w:t>
      </w:r>
      <w:r>
        <w:rPr>
          <w:rFonts w:hint="eastAsia" w:ascii="宋体" w:hAnsi="宋体" w:eastAsia="宋体" w:cs="宋体"/>
          <w:bCs w:val="0"/>
          <w:sz w:val="32"/>
          <w:szCs w:val="32"/>
          <w:lang w:val="en-US" w:eastAsia="zh-CN"/>
        </w:rPr>
        <w:t xml:space="preserve">  </w:t>
      </w:r>
      <w:r>
        <w:rPr>
          <w:rFonts w:hint="eastAsia" w:ascii="宋体" w:hAnsi="宋体" w:eastAsia="宋体" w:cs="宋体"/>
          <w:bCs w:val="0"/>
          <w:sz w:val="32"/>
          <w:szCs w:val="32"/>
        </w:rPr>
        <w:t>“十四五”林业发展的背景与机遇</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_Toc8155 </w:instrText>
      </w:r>
      <w:r>
        <w:rPr>
          <w:rFonts w:hint="eastAsia" w:ascii="宋体" w:hAnsi="宋体" w:eastAsia="宋体" w:cs="宋体"/>
          <w:sz w:val="32"/>
          <w:szCs w:val="32"/>
        </w:rPr>
        <w:fldChar w:fldCharType="separate"/>
      </w:r>
      <w:r>
        <w:rPr>
          <w:rFonts w:hint="eastAsia" w:ascii="宋体" w:hAnsi="宋体" w:eastAsia="宋体" w:cs="宋体"/>
          <w:sz w:val="32"/>
          <w:szCs w:val="32"/>
        </w:rPr>
        <w:t>6</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4164DC66">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_Toc6647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一、发展背景</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_Toc6647 </w:instrText>
      </w:r>
      <w:r>
        <w:rPr>
          <w:rFonts w:hint="eastAsia" w:ascii="宋体" w:hAnsi="宋体" w:eastAsia="宋体" w:cs="宋体"/>
          <w:sz w:val="32"/>
          <w:szCs w:val="32"/>
        </w:rPr>
        <w:fldChar w:fldCharType="separate"/>
      </w:r>
      <w:r>
        <w:rPr>
          <w:rFonts w:hint="eastAsia" w:ascii="宋体" w:hAnsi="宋体" w:eastAsia="宋体" w:cs="宋体"/>
          <w:sz w:val="32"/>
          <w:szCs w:val="32"/>
        </w:rPr>
        <w:t>6</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486FF1FF">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_Toc3067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二、发展新机遇</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_Toc3067 </w:instrText>
      </w:r>
      <w:r>
        <w:rPr>
          <w:rFonts w:hint="eastAsia" w:ascii="宋体" w:hAnsi="宋体" w:eastAsia="宋体" w:cs="宋体"/>
          <w:sz w:val="32"/>
          <w:szCs w:val="32"/>
        </w:rPr>
        <w:fldChar w:fldCharType="separate"/>
      </w:r>
      <w:r>
        <w:rPr>
          <w:rFonts w:hint="eastAsia" w:ascii="宋体" w:hAnsi="宋体" w:eastAsia="宋体" w:cs="宋体"/>
          <w:sz w:val="32"/>
          <w:szCs w:val="32"/>
        </w:rPr>
        <w:t>7</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6D264A27">
      <w:pPr>
        <w:pStyle w:val="10"/>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_Toc8534 </w:instrText>
      </w:r>
      <w:r>
        <w:rPr>
          <w:rFonts w:hint="eastAsia" w:ascii="宋体" w:hAnsi="宋体" w:eastAsia="宋体" w:cs="宋体"/>
          <w:bCs w:val="0"/>
          <w:sz w:val="32"/>
          <w:szCs w:val="32"/>
        </w:rPr>
        <w:fldChar w:fldCharType="separate"/>
      </w:r>
      <w:r>
        <w:rPr>
          <w:rFonts w:hint="eastAsia" w:ascii="宋体" w:hAnsi="宋体" w:eastAsia="宋体" w:cs="宋体"/>
          <w:bCs w:val="0"/>
          <w:sz w:val="32"/>
          <w:szCs w:val="32"/>
        </w:rPr>
        <w:t>第三章</w:t>
      </w:r>
      <w:r>
        <w:rPr>
          <w:rFonts w:hint="eastAsia" w:ascii="宋体" w:hAnsi="宋体" w:eastAsia="宋体" w:cs="宋体"/>
          <w:bCs w:val="0"/>
          <w:sz w:val="32"/>
          <w:szCs w:val="32"/>
          <w:lang w:val="en-US" w:eastAsia="zh-CN"/>
        </w:rPr>
        <w:t xml:space="preserve">  </w:t>
      </w:r>
      <w:r>
        <w:rPr>
          <w:rFonts w:hint="eastAsia" w:ascii="宋体" w:hAnsi="宋体" w:eastAsia="宋体" w:cs="宋体"/>
          <w:bCs w:val="0"/>
          <w:sz w:val="32"/>
          <w:szCs w:val="32"/>
        </w:rPr>
        <w:t>指导思想与建设目标</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_Toc8534 </w:instrText>
      </w:r>
      <w:r>
        <w:rPr>
          <w:rFonts w:hint="eastAsia" w:ascii="宋体" w:hAnsi="宋体" w:eastAsia="宋体" w:cs="宋体"/>
          <w:sz w:val="32"/>
          <w:szCs w:val="32"/>
        </w:rPr>
        <w:fldChar w:fldCharType="separate"/>
      </w:r>
      <w:r>
        <w:rPr>
          <w:rFonts w:hint="eastAsia" w:ascii="宋体" w:hAnsi="宋体" w:eastAsia="宋体" w:cs="宋体"/>
          <w:sz w:val="32"/>
          <w:szCs w:val="32"/>
        </w:rPr>
        <w:t>9</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1DDFA9D2">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_Toc14784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一、指导思想</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_Toc14784 </w:instrText>
      </w:r>
      <w:r>
        <w:rPr>
          <w:rFonts w:hint="eastAsia" w:ascii="宋体" w:hAnsi="宋体" w:eastAsia="宋体" w:cs="宋体"/>
          <w:sz w:val="32"/>
          <w:szCs w:val="32"/>
        </w:rPr>
        <w:fldChar w:fldCharType="separate"/>
      </w:r>
      <w:r>
        <w:rPr>
          <w:rFonts w:hint="eastAsia" w:ascii="宋体" w:hAnsi="宋体" w:eastAsia="宋体" w:cs="宋体"/>
          <w:sz w:val="32"/>
          <w:szCs w:val="32"/>
        </w:rPr>
        <w:t>9</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038438B1">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_Toc22272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二、基本原则</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_Toc22272 </w:instrText>
      </w:r>
      <w:r>
        <w:rPr>
          <w:rFonts w:hint="eastAsia" w:ascii="宋体" w:hAnsi="宋体" w:eastAsia="宋体" w:cs="宋体"/>
          <w:sz w:val="32"/>
          <w:szCs w:val="32"/>
        </w:rPr>
        <w:fldChar w:fldCharType="separate"/>
      </w:r>
      <w:r>
        <w:rPr>
          <w:rFonts w:hint="eastAsia" w:ascii="宋体" w:hAnsi="宋体" w:eastAsia="宋体" w:cs="宋体"/>
          <w:sz w:val="32"/>
          <w:szCs w:val="32"/>
        </w:rPr>
        <w:t>9</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2B21367F">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_Toc15349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三、编制依据</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_Toc15349 </w:instrText>
      </w:r>
      <w:r>
        <w:rPr>
          <w:rFonts w:hint="eastAsia" w:ascii="宋体" w:hAnsi="宋体" w:eastAsia="宋体" w:cs="宋体"/>
          <w:sz w:val="32"/>
          <w:szCs w:val="32"/>
        </w:rPr>
        <w:fldChar w:fldCharType="separate"/>
      </w:r>
      <w:r>
        <w:rPr>
          <w:rFonts w:hint="eastAsia" w:ascii="宋体" w:hAnsi="宋体" w:eastAsia="宋体" w:cs="宋体"/>
          <w:sz w:val="32"/>
          <w:szCs w:val="32"/>
        </w:rPr>
        <w:t>10</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7460684A">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_Toc18023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四、发展目标</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_Toc18023 </w:instrText>
      </w:r>
      <w:r>
        <w:rPr>
          <w:rFonts w:hint="eastAsia" w:ascii="宋体" w:hAnsi="宋体" w:eastAsia="宋体" w:cs="宋体"/>
          <w:sz w:val="32"/>
          <w:szCs w:val="32"/>
        </w:rPr>
        <w:fldChar w:fldCharType="separate"/>
      </w:r>
      <w:r>
        <w:rPr>
          <w:rFonts w:hint="eastAsia" w:ascii="宋体" w:hAnsi="宋体" w:eastAsia="宋体" w:cs="宋体"/>
          <w:sz w:val="32"/>
          <w:szCs w:val="32"/>
        </w:rPr>
        <w:t>10</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3E437C2D">
      <w:pPr>
        <w:pStyle w:val="10"/>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_Toc27855 </w:instrText>
      </w:r>
      <w:r>
        <w:rPr>
          <w:rFonts w:hint="eastAsia" w:ascii="宋体" w:hAnsi="宋体" w:eastAsia="宋体" w:cs="宋体"/>
          <w:bCs w:val="0"/>
          <w:sz w:val="32"/>
          <w:szCs w:val="32"/>
        </w:rPr>
        <w:fldChar w:fldCharType="separate"/>
      </w:r>
      <w:r>
        <w:rPr>
          <w:rFonts w:hint="eastAsia" w:ascii="宋体" w:hAnsi="宋体" w:eastAsia="宋体" w:cs="宋体"/>
          <w:bCs w:val="0"/>
          <w:sz w:val="32"/>
          <w:szCs w:val="32"/>
        </w:rPr>
        <w:t>第</w:t>
      </w:r>
      <w:r>
        <w:rPr>
          <w:rFonts w:hint="eastAsia" w:ascii="宋体" w:hAnsi="宋体" w:eastAsia="宋体" w:cs="宋体"/>
          <w:bCs w:val="0"/>
          <w:sz w:val="32"/>
          <w:szCs w:val="32"/>
          <w:lang w:eastAsia="zh-CN"/>
        </w:rPr>
        <w:t>四</w:t>
      </w:r>
      <w:r>
        <w:rPr>
          <w:rFonts w:hint="eastAsia" w:ascii="宋体" w:hAnsi="宋体" w:eastAsia="宋体" w:cs="宋体"/>
          <w:bCs w:val="0"/>
          <w:sz w:val="32"/>
          <w:szCs w:val="32"/>
        </w:rPr>
        <w:t>章</w:t>
      </w:r>
      <w:r>
        <w:rPr>
          <w:rFonts w:hint="eastAsia" w:ascii="宋体" w:hAnsi="宋体" w:eastAsia="宋体" w:cs="宋体"/>
          <w:bCs w:val="0"/>
          <w:sz w:val="32"/>
          <w:szCs w:val="32"/>
          <w:lang w:val="en-US" w:eastAsia="zh-CN"/>
        </w:rPr>
        <w:t xml:space="preserve">  </w:t>
      </w:r>
      <w:r>
        <w:rPr>
          <w:rFonts w:hint="eastAsia" w:ascii="宋体" w:hAnsi="宋体" w:eastAsia="宋体" w:cs="宋体"/>
          <w:bCs w:val="0"/>
          <w:sz w:val="32"/>
          <w:szCs w:val="32"/>
        </w:rPr>
        <w:t>总体布局</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_Toc27855 </w:instrText>
      </w:r>
      <w:r>
        <w:rPr>
          <w:rFonts w:hint="eastAsia" w:ascii="宋体" w:hAnsi="宋体" w:eastAsia="宋体" w:cs="宋体"/>
          <w:sz w:val="32"/>
          <w:szCs w:val="32"/>
        </w:rPr>
        <w:fldChar w:fldCharType="separate"/>
      </w:r>
      <w:r>
        <w:rPr>
          <w:rFonts w:hint="eastAsia" w:ascii="宋体" w:hAnsi="宋体" w:eastAsia="宋体" w:cs="宋体"/>
          <w:sz w:val="32"/>
          <w:szCs w:val="32"/>
        </w:rPr>
        <w:t>12</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51BF70F7">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_Toc4941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一、林业功能区划</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_Toc4941 </w:instrText>
      </w:r>
      <w:r>
        <w:rPr>
          <w:rFonts w:hint="eastAsia" w:ascii="宋体" w:hAnsi="宋体" w:eastAsia="宋体" w:cs="宋体"/>
          <w:sz w:val="32"/>
          <w:szCs w:val="32"/>
        </w:rPr>
        <w:fldChar w:fldCharType="separate"/>
      </w:r>
      <w:r>
        <w:rPr>
          <w:rFonts w:hint="eastAsia" w:ascii="宋体" w:hAnsi="宋体" w:eastAsia="宋体" w:cs="宋体"/>
          <w:sz w:val="32"/>
          <w:szCs w:val="32"/>
        </w:rPr>
        <w:t>12</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501B396D">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_Toc20961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二、总体布局</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_Toc20961 </w:instrText>
      </w:r>
      <w:r>
        <w:rPr>
          <w:rFonts w:hint="eastAsia" w:ascii="宋体" w:hAnsi="宋体" w:eastAsia="宋体" w:cs="宋体"/>
          <w:sz w:val="32"/>
          <w:szCs w:val="32"/>
        </w:rPr>
        <w:fldChar w:fldCharType="separate"/>
      </w:r>
      <w:r>
        <w:rPr>
          <w:rFonts w:hint="eastAsia" w:ascii="宋体" w:hAnsi="宋体" w:eastAsia="宋体" w:cs="宋体"/>
          <w:sz w:val="32"/>
          <w:szCs w:val="32"/>
        </w:rPr>
        <w:t>13</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41378F81">
      <w:pPr>
        <w:pStyle w:val="10"/>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_Toc17004 </w:instrText>
      </w:r>
      <w:r>
        <w:rPr>
          <w:rFonts w:hint="eastAsia" w:ascii="宋体" w:hAnsi="宋体" w:eastAsia="宋体" w:cs="宋体"/>
          <w:bCs w:val="0"/>
          <w:sz w:val="32"/>
          <w:szCs w:val="32"/>
        </w:rPr>
        <w:fldChar w:fldCharType="separate"/>
      </w:r>
      <w:r>
        <w:rPr>
          <w:rFonts w:hint="eastAsia" w:ascii="宋体" w:hAnsi="宋体" w:eastAsia="宋体" w:cs="宋体"/>
          <w:bCs w:val="0"/>
          <w:sz w:val="32"/>
          <w:szCs w:val="32"/>
        </w:rPr>
        <w:t>第五章</w:t>
      </w:r>
      <w:r>
        <w:rPr>
          <w:rFonts w:hint="eastAsia" w:ascii="宋体" w:hAnsi="宋体" w:eastAsia="宋体" w:cs="宋体"/>
          <w:bCs w:val="0"/>
          <w:sz w:val="32"/>
          <w:szCs w:val="32"/>
          <w:lang w:val="en-US" w:eastAsia="zh-CN"/>
        </w:rPr>
        <w:t xml:space="preserve">  </w:t>
      </w:r>
      <w:r>
        <w:rPr>
          <w:rFonts w:hint="eastAsia" w:ascii="宋体" w:hAnsi="宋体" w:eastAsia="宋体" w:cs="宋体"/>
          <w:bCs w:val="0"/>
          <w:sz w:val="32"/>
          <w:szCs w:val="32"/>
        </w:rPr>
        <w:t>主要任务</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_Toc17004 </w:instrText>
      </w:r>
      <w:r>
        <w:rPr>
          <w:rFonts w:hint="eastAsia" w:ascii="宋体" w:hAnsi="宋体" w:eastAsia="宋体" w:cs="宋体"/>
          <w:sz w:val="32"/>
          <w:szCs w:val="32"/>
        </w:rPr>
        <w:fldChar w:fldCharType="separate"/>
      </w:r>
      <w:r>
        <w:rPr>
          <w:rFonts w:hint="eastAsia" w:ascii="宋体" w:hAnsi="宋体" w:eastAsia="宋体" w:cs="宋体"/>
          <w:sz w:val="32"/>
          <w:szCs w:val="32"/>
        </w:rPr>
        <w:t>14</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568E412F">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_Toc25767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一、持续开展扩绿提质，实现“生态美”</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_Toc25767 </w:instrText>
      </w:r>
      <w:r>
        <w:rPr>
          <w:rFonts w:hint="eastAsia" w:ascii="宋体" w:hAnsi="宋体" w:eastAsia="宋体" w:cs="宋体"/>
          <w:sz w:val="32"/>
          <w:szCs w:val="32"/>
        </w:rPr>
        <w:fldChar w:fldCharType="separate"/>
      </w:r>
      <w:r>
        <w:rPr>
          <w:rFonts w:hint="eastAsia" w:ascii="宋体" w:hAnsi="宋体" w:eastAsia="宋体" w:cs="宋体"/>
          <w:sz w:val="32"/>
          <w:szCs w:val="32"/>
        </w:rPr>
        <w:t>14</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3BF1C56F">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_Toc30801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二、加快发展林特产业，实现“产业优”</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_Toc30801 </w:instrText>
      </w:r>
      <w:r>
        <w:rPr>
          <w:rFonts w:hint="eastAsia" w:ascii="宋体" w:hAnsi="宋体" w:eastAsia="宋体" w:cs="宋体"/>
          <w:sz w:val="32"/>
          <w:szCs w:val="32"/>
        </w:rPr>
        <w:fldChar w:fldCharType="separate"/>
      </w:r>
      <w:r>
        <w:rPr>
          <w:rFonts w:hint="eastAsia" w:ascii="宋体" w:hAnsi="宋体" w:eastAsia="宋体" w:cs="宋体"/>
          <w:sz w:val="32"/>
          <w:szCs w:val="32"/>
        </w:rPr>
        <w:t>22</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2D0E9CC0">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_Toc3188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三、全面深化改革创新，实现“机制活”</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_Toc3188 </w:instrText>
      </w:r>
      <w:r>
        <w:rPr>
          <w:rFonts w:hint="eastAsia" w:ascii="宋体" w:hAnsi="宋体" w:eastAsia="宋体" w:cs="宋体"/>
          <w:sz w:val="32"/>
          <w:szCs w:val="32"/>
        </w:rPr>
        <w:fldChar w:fldCharType="separate"/>
      </w:r>
      <w:r>
        <w:rPr>
          <w:rFonts w:hint="eastAsia" w:ascii="宋体" w:hAnsi="宋体" w:eastAsia="宋体" w:cs="宋体"/>
          <w:sz w:val="32"/>
          <w:szCs w:val="32"/>
        </w:rPr>
        <w:t>26</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6EF82DBB">
      <w:pPr>
        <w:pStyle w:val="10"/>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_Toc26645 </w:instrText>
      </w:r>
      <w:r>
        <w:rPr>
          <w:rFonts w:hint="eastAsia" w:ascii="宋体" w:hAnsi="宋体" w:eastAsia="宋体" w:cs="宋体"/>
          <w:bCs w:val="0"/>
          <w:sz w:val="32"/>
          <w:szCs w:val="32"/>
        </w:rPr>
        <w:fldChar w:fldCharType="separate"/>
      </w:r>
      <w:r>
        <w:rPr>
          <w:rFonts w:hint="eastAsia" w:ascii="宋体" w:hAnsi="宋体" w:eastAsia="宋体" w:cs="宋体"/>
          <w:bCs w:val="0"/>
          <w:sz w:val="32"/>
          <w:szCs w:val="32"/>
        </w:rPr>
        <w:t>第</w:t>
      </w:r>
      <w:r>
        <w:rPr>
          <w:rFonts w:hint="eastAsia" w:ascii="宋体" w:hAnsi="宋体" w:eastAsia="宋体" w:cs="宋体"/>
          <w:bCs w:val="0"/>
          <w:sz w:val="32"/>
          <w:szCs w:val="32"/>
          <w:lang w:eastAsia="zh-CN"/>
        </w:rPr>
        <w:t>六</w:t>
      </w:r>
      <w:r>
        <w:rPr>
          <w:rFonts w:hint="eastAsia" w:ascii="宋体" w:hAnsi="宋体" w:eastAsia="宋体" w:cs="宋体"/>
          <w:bCs w:val="0"/>
          <w:sz w:val="32"/>
          <w:szCs w:val="32"/>
        </w:rPr>
        <w:t>章</w:t>
      </w:r>
      <w:r>
        <w:rPr>
          <w:rFonts w:hint="eastAsia" w:ascii="宋体" w:hAnsi="宋体" w:eastAsia="宋体" w:cs="宋体"/>
          <w:bCs w:val="0"/>
          <w:sz w:val="32"/>
          <w:szCs w:val="32"/>
          <w:lang w:val="en-US" w:eastAsia="zh-CN"/>
        </w:rPr>
        <w:t xml:space="preserve">  </w:t>
      </w:r>
      <w:r>
        <w:rPr>
          <w:rFonts w:hint="eastAsia" w:ascii="宋体" w:hAnsi="宋体" w:eastAsia="宋体" w:cs="宋体"/>
          <w:bCs w:val="0"/>
          <w:sz w:val="32"/>
          <w:szCs w:val="32"/>
        </w:rPr>
        <w:t>重点建设工程</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_Toc26645 </w:instrText>
      </w:r>
      <w:r>
        <w:rPr>
          <w:rFonts w:hint="eastAsia" w:ascii="宋体" w:hAnsi="宋体" w:eastAsia="宋体" w:cs="宋体"/>
          <w:sz w:val="32"/>
          <w:szCs w:val="32"/>
        </w:rPr>
        <w:fldChar w:fldCharType="separate"/>
      </w:r>
      <w:r>
        <w:rPr>
          <w:rFonts w:hint="eastAsia" w:ascii="宋体" w:hAnsi="宋体" w:eastAsia="宋体" w:cs="宋体"/>
          <w:sz w:val="32"/>
          <w:szCs w:val="32"/>
        </w:rPr>
        <w:t>30</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4DDE7F77">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_Toc15560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一、防护林工程</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_Toc15560 </w:instrText>
      </w:r>
      <w:r>
        <w:rPr>
          <w:rFonts w:hint="eastAsia" w:ascii="宋体" w:hAnsi="宋体" w:eastAsia="宋体" w:cs="宋体"/>
          <w:sz w:val="32"/>
          <w:szCs w:val="32"/>
        </w:rPr>
        <w:fldChar w:fldCharType="separate"/>
      </w:r>
      <w:r>
        <w:rPr>
          <w:rFonts w:hint="eastAsia" w:ascii="宋体" w:hAnsi="宋体" w:eastAsia="宋体" w:cs="宋体"/>
          <w:sz w:val="32"/>
          <w:szCs w:val="32"/>
        </w:rPr>
        <w:t>30</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4B027C02">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_Toc14554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二、森林乡村建设工程</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_Toc14554 </w:instrText>
      </w:r>
      <w:r>
        <w:rPr>
          <w:rFonts w:hint="eastAsia" w:ascii="宋体" w:hAnsi="宋体" w:eastAsia="宋体" w:cs="宋体"/>
          <w:sz w:val="32"/>
          <w:szCs w:val="32"/>
        </w:rPr>
        <w:fldChar w:fldCharType="separate"/>
      </w:r>
      <w:r>
        <w:rPr>
          <w:rFonts w:hint="eastAsia" w:ascii="宋体" w:hAnsi="宋体" w:eastAsia="宋体" w:cs="宋体"/>
          <w:sz w:val="32"/>
          <w:szCs w:val="32"/>
        </w:rPr>
        <w:t>30</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3804DFF6">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_Toc855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三、森林抚育工程</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_Toc855 </w:instrText>
      </w:r>
      <w:r>
        <w:rPr>
          <w:rFonts w:hint="eastAsia" w:ascii="宋体" w:hAnsi="宋体" w:eastAsia="宋体" w:cs="宋体"/>
          <w:sz w:val="32"/>
          <w:szCs w:val="32"/>
        </w:rPr>
        <w:fldChar w:fldCharType="separate"/>
      </w:r>
      <w:r>
        <w:rPr>
          <w:rFonts w:hint="eastAsia" w:ascii="宋体" w:hAnsi="宋体" w:eastAsia="宋体" w:cs="宋体"/>
          <w:sz w:val="32"/>
          <w:szCs w:val="32"/>
        </w:rPr>
        <w:t>30</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41F42B02">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_Toc8245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四、退化林修复工程</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_Toc8245 </w:instrText>
      </w:r>
      <w:r>
        <w:rPr>
          <w:rFonts w:hint="eastAsia" w:ascii="宋体" w:hAnsi="宋体" w:eastAsia="宋体" w:cs="宋体"/>
          <w:sz w:val="32"/>
          <w:szCs w:val="32"/>
        </w:rPr>
        <w:fldChar w:fldCharType="separate"/>
      </w:r>
      <w:r>
        <w:rPr>
          <w:rFonts w:hint="eastAsia" w:ascii="宋体" w:hAnsi="宋体" w:eastAsia="宋体" w:cs="宋体"/>
          <w:sz w:val="32"/>
          <w:szCs w:val="32"/>
        </w:rPr>
        <w:t>31</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0835A5E1">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_Toc27466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五、曾都区林木种质资源库建设</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_Toc27466 </w:instrText>
      </w:r>
      <w:r>
        <w:rPr>
          <w:rFonts w:hint="eastAsia" w:ascii="宋体" w:hAnsi="宋体" w:eastAsia="宋体" w:cs="宋体"/>
          <w:sz w:val="32"/>
          <w:szCs w:val="32"/>
        </w:rPr>
        <w:fldChar w:fldCharType="separate"/>
      </w:r>
      <w:r>
        <w:rPr>
          <w:rFonts w:hint="eastAsia" w:ascii="宋体" w:hAnsi="宋体" w:eastAsia="宋体" w:cs="宋体"/>
          <w:sz w:val="32"/>
          <w:szCs w:val="32"/>
        </w:rPr>
        <w:t>31</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6B320E96">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_Toc8432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六、林业有害生物防治</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_Toc8432 </w:instrText>
      </w:r>
      <w:r>
        <w:rPr>
          <w:rFonts w:hint="eastAsia" w:ascii="宋体" w:hAnsi="宋体" w:eastAsia="宋体" w:cs="宋体"/>
          <w:sz w:val="32"/>
          <w:szCs w:val="32"/>
        </w:rPr>
        <w:fldChar w:fldCharType="separate"/>
      </w:r>
      <w:r>
        <w:rPr>
          <w:rFonts w:hint="eastAsia" w:ascii="宋体" w:hAnsi="宋体" w:eastAsia="宋体" w:cs="宋体"/>
          <w:sz w:val="32"/>
          <w:szCs w:val="32"/>
        </w:rPr>
        <w:t>32</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0A7AE534">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_Toc1917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七、森林防火</w:t>
      </w:r>
      <w:r>
        <w:rPr>
          <w:rFonts w:hint="eastAsia" w:ascii="宋体" w:hAnsi="宋体" w:eastAsia="宋体" w:cs="宋体"/>
          <w:sz w:val="32"/>
          <w:szCs w:val="32"/>
          <w:lang w:eastAsia="zh-CN"/>
        </w:rPr>
        <w:t>、野生动物栖息地</w:t>
      </w:r>
      <w:r>
        <w:rPr>
          <w:rFonts w:hint="eastAsia" w:ascii="宋体" w:hAnsi="宋体" w:eastAsia="宋体" w:cs="宋体"/>
          <w:sz w:val="32"/>
          <w:szCs w:val="32"/>
        </w:rPr>
        <w:t>视频监控系统建设</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_Toc1917 </w:instrText>
      </w:r>
      <w:r>
        <w:rPr>
          <w:rFonts w:hint="eastAsia" w:ascii="宋体" w:hAnsi="宋体" w:eastAsia="宋体" w:cs="宋体"/>
          <w:sz w:val="32"/>
          <w:szCs w:val="32"/>
        </w:rPr>
        <w:fldChar w:fldCharType="separate"/>
      </w:r>
      <w:r>
        <w:rPr>
          <w:rFonts w:hint="eastAsia" w:ascii="宋体" w:hAnsi="宋体" w:eastAsia="宋体" w:cs="宋体"/>
          <w:sz w:val="32"/>
          <w:szCs w:val="32"/>
        </w:rPr>
        <w:t>32</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31CD1023">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_Toc6341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八、自然保护地基础设施及信息化建设</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_Toc6341 </w:instrText>
      </w:r>
      <w:r>
        <w:rPr>
          <w:rFonts w:hint="eastAsia" w:ascii="宋体" w:hAnsi="宋体" w:eastAsia="宋体" w:cs="宋体"/>
          <w:sz w:val="32"/>
          <w:szCs w:val="32"/>
        </w:rPr>
        <w:fldChar w:fldCharType="separate"/>
      </w:r>
      <w:r>
        <w:rPr>
          <w:rFonts w:hint="eastAsia" w:ascii="宋体" w:hAnsi="宋体" w:eastAsia="宋体" w:cs="宋体"/>
          <w:sz w:val="32"/>
          <w:szCs w:val="32"/>
        </w:rPr>
        <w:t>33</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4F0E627D">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_Toc17359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九、神农国家油茶公园</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_Toc17359 </w:instrText>
      </w:r>
      <w:r>
        <w:rPr>
          <w:rFonts w:hint="eastAsia" w:ascii="宋体" w:hAnsi="宋体" w:eastAsia="宋体" w:cs="宋体"/>
          <w:sz w:val="32"/>
          <w:szCs w:val="32"/>
        </w:rPr>
        <w:fldChar w:fldCharType="separate"/>
      </w:r>
      <w:r>
        <w:rPr>
          <w:rFonts w:hint="eastAsia" w:ascii="宋体" w:hAnsi="宋体" w:eastAsia="宋体" w:cs="宋体"/>
          <w:sz w:val="32"/>
          <w:szCs w:val="32"/>
        </w:rPr>
        <w:t>33</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6D85EBF6">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_Toc23808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十、曾都区古银杏国家森林康养基地</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_Toc23808 </w:instrText>
      </w:r>
      <w:r>
        <w:rPr>
          <w:rFonts w:hint="eastAsia" w:ascii="宋体" w:hAnsi="宋体" w:eastAsia="宋体" w:cs="宋体"/>
          <w:sz w:val="32"/>
          <w:szCs w:val="32"/>
        </w:rPr>
        <w:fldChar w:fldCharType="separate"/>
      </w:r>
      <w:r>
        <w:rPr>
          <w:rFonts w:hint="eastAsia" w:ascii="宋体" w:hAnsi="宋体" w:eastAsia="宋体" w:cs="宋体"/>
          <w:sz w:val="32"/>
          <w:szCs w:val="32"/>
        </w:rPr>
        <w:t>34</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61C898B7">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_Toc23989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十一、油茶低产低效林改造</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_Toc23989 </w:instrText>
      </w:r>
      <w:r>
        <w:rPr>
          <w:rFonts w:hint="eastAsia" w:ascii="宋体" w:hAnsi="宋体" w:eastAsia="宋体" w:cs="宋体"/>
          <w:sz w:val="32"/>
          <w:szCs w:val="32"/>
        </w:rPr>
        <w:fldChar w:fldCharType="separate"/>
      </w:r>
      <w:r>
        <w:rPr>
          <w:rFonts w:hint="eastAsia" w:ascii="宋体" w:hAnsi="宋体" w:eastAsia="宋体" w:cs="宋体"/>
          <w:sz w:val="32"/>
          <w:szCs w:val="32"/>
        </w:rPr>
        <w:t>34</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6AAFEE0D">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_Toc25900 </w:instrText>
      </w:r>
      <w:r>
        <w:rPr>
          <w:rFonts w:hint="eastAsia" w:ascii="宋体" w:hAnsi="宋体" w:eastAsia="宋体" w:cs="宋体"/>
          <w:bCs w:val="0"/>
          <w:sz w:val="32"/>
          <w:szCs w:val="32"/>
        </w:rPr>
        <w:fldChar w:fldCharType="separate"/>
      </w:r>
      <w:r>
        <w:rPr>
          <w:rFonts w:hint="eastAsia" w:ascii="宋体" w:hAnsi="宋体" w:eastAsia="宋体" w:cs="宋体"/>
          <w:sz w:val="32"/>
          <w:szCs w:val="32"/>
          <w:lang w:eastAsia="zh-CN"/>
        </w:rPr>
        <w:t>十二、曾都国际银杏康养谷</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_Toc25900 </w:instrText>
      </w:r>
      <w:r>
        <w:rPr>
          <w:rFonts w:hint="eastAsia" w:ascii="宋体" w:hAnsi="宋体" w:eastAsia="宋体" w:cs="宋体"/>
          <w:sz w:val="32"/>
          <w:szCs w:val="32"/>
        </w:rPr>
        <w:fldChar w:fldCharType="separate"/>
      </w:r>
      <w:r>
        <w:rPr>
          <w:rFonts w:hint="eastAsia" w:ascii="宋体" w:hAnsi="宋体" w:eastAsia="宋体" w:cs="宋体"/>
          <w:sz w:val="32"/>
          <w:szCs w:val="32"/>
        </w:rPr>
        <w:t>35</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65F18245">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_Toc9910 </w:instrText>
      </w:r>
      <w:r>
        <w:rPr>
          <w:rFonts w:hint="eastAsia" w:ascii="宋体" w:hAnsi="宋体" w:eastAsia="宋体" w:cs="宋体"/>
          <w:bCs w:val="0"/>
          <w:sz w:val="32"/>
          <w:szCs w:val="32"/>
        </w:rPr>
        <w:fldChar w:fldCharType="separate"/>
      </w:r>
      <w:r>
        <w:rPr>
          <w:rFonts w:hint="eastAsia" w:ascii="宋体" w:hAnsi="宋体" w:eastAsia="宋体" w:cs="宋体"/>
          <w:sz w:val="32"/>
          <w:szCs w:val="32"/>
          <w:lang w:eastAsia="zh-CN"/>
        </w:rPr>
        <w:t>十三、十九山生态文化旅游康养</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_Toc9910 </w:instrText>
      </w:r>
      <w:r>
        <w:rPr>
          <w:rFonts w:hint="eastAsia" w:ascii="宋体" w:hAnsi="宋体" w:eastAsia="宋体" w:cs="宋体"/>
          <w:sz w:val="32"/>
          <w:szCs w:val="32"/>
        </w:rPr>
        <w:fldChar w:fldCharType="separate"/>
      </w:r>
      <w:r>
        <w:rPr>
          <w:rFonts w:hint="eastAsia" w:ascii="宋体" w:hAnsi="宋体" w:eastAsia="宋体" w:cs="宋体"/>
          <w:sz w:val="32"/>
          <w:szCs w:val="32"/>
        </w:rPr>
        <w:t>35</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65AC92B9">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_Toc15418 </w:instrText>
      </w:r>
      <w:r>
        <w:rPr>
          <w:rFonts w:hint="eastAsia" w:ascii="宋体" w:hAnsi="宋体" w:eastAsia="宋体" w:cs="宋体"/>
          <w:bCs w:val="0"/>
          <w:sz w:val="32"/>
          <w:szCs w:val="32"/>
        </w:rPr>
        <w:fldChar w:fldCharType="separate"/>
      </w:r>
      <w:r>
        <w:rPr>
          <w:rFonts w:hint="eastAsia" w:ascii="宋体" w:hAnsi="宋体" w:eastAsia="宋体" w:cs="宋体"/>
          <w:sz w:val="32"/>
          <w:szCs w:val="32"/>
          <w:lang w:eastAsia="zh-CN"/>
        </w:rPr>
        <w:t>十四、随州市凯达实业森林康养基地项目</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_Toc15418 </w:instrText>
      </w:r>
      <w:r>
        <w:rPr>
          <w:rFonts w:hint="eastAsia" w:ascii="宋体" w:hAnsi="宋体" w:eastAsia="宋体" w:cs="宋体"/>
          <w:sz w:val="32"/>
          <w:szCs w:val="32"/>
        </w:rPr>
        <w:fldChar w:fldCharType="separate"/>
      </w:r>
      <w:r>
        <w:rPr>
          <w:rFonts w:hint="eastAsia" w:ascii="宋体" w:hAnsi="宋体" w:eastAsia="宋体" w:cs="宋体"/>
          <w:sz w:val="32"/>
          <w:szCs w:val="32"/>
        </w:rPr>
        <w:t>35</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0D733FFF">
      <w:pPr>
        <w:pStyle w:val="10"/>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_Toc1915 </w:instrText>
      </w:r>
      <w:r>
        <w:rPr>
          <w:rFonts w:hint="eastAsia" w:ascii="宋体" w:hAnsi="宋体" w:eastAsia="宋体" w:cs="宋体"/>
          <w:bCs w:val="0"/>
          <w:sz w:val="32"/>
          <w:szCs w:val="32"/>
        </w:rPr>
        <w:fldChar w:fldCharType="separate"/>
      </w:r>
      <w:r>
        <w:rPr>
          <w:rFonts w:hint="eastAsia" w:ascii="宋体" w:hAnsi="宋体" w:eastAsia="宋体" w:cs="宋体"/>
          <w:bCs w:val="0"/>
          <w:sz w:val="32"/>
          <w:szCs w:val="32"/>
        </w:rPr>
        <w:t>第</w:t>
      </w:r>
      <w:r>
        <w:rPr>
          <w:rFonts w:hint="eastAsia" w:ascii="宋体" w:hAnsi="宋体" w:eastAsia="宋体" w:cs="宋体"/>
          <w:bCs w:val="0"/>
          <w:sz w:val="32"/>
          <w:szCs w:val="32"/>
          <w:lang w:eastAsia="zh-CN"/>
        </w:rPr>
        <w:t>七</w:t>
      </w:r>
      <w:r>
        <w:rPr>
          <w:rFonts w:hint="eastAsia" w:ascii="宋体" w:hAnsi="宋体" w:eastAsia="宋体" w:cs="宋体"/>
          <w:bCs w:val="0"/>
          <w:sz w:val="32"/>
          <w:szCs w:val="32"/>
        </w:rPr>
        <w:t>章</w:t>
      </w:r>
      <w:r>
        <w:rPr>
          <w:rFonts w:hint="eastAsia" w:ascii="宋体" w:hAnsi="宋体" w:eastAsia="宋体" w:cs="宋体"/>
          <w:bCs w:val="0"/>
          <w:sz w:val="32"/>
          <w:szCs w:val="32"/>
          <w:lang w:val="en-US" w:eastAsia="zh-CN"/>
        </w:rPr>
        <w:t xml:space="preserve">  </w:t>
      </w:r>
      <w:r>
        <w:rPr>
          <w:rFonts w:hint="eastAsia" w:ascii="宋体" w:hAnsi="宋体" w:eastAsia="宋体" w:cs="宋体"/>
          <w:bCs w:val="0"/>
          <w:sz w:val="32"/>
          <w:szCs w:val="32"/>
        </w:rPr>
        <w:t>保障措施</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_Toc1915 </w:instrText>
      </w:r>
      <w:r>
        <w:rPr>
          <w:rFonts w:hint="eastAsia" w:ascii="宋体" w:hAnsi="宋体" w:eastAsia="宋体" w:cs="宋体"/>
          <w:sz w:val="32"/>
          <w:szCs w:val="32"/>
        </w:rPr>
        <w:fldChar w:fldCharType="separate"/>
      </w:r>
      <w:r>
        <w:rPr>
          <w:rFonts w:hint="eastAsia" w:ascii="宋体" w:hAnsi="宋体" w:eastAsia="宋体" w:cs="宋体"/>
          <w:sz w:val="32"/>
          <w:szCs w:val="32"/>
        </w:rPr>
        <w:t>36</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010EFC22">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_Toc29630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一、广泛宣传,提高认识</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_Toc29630 </w:instrText>
      </w:r>
      <w:r>
        <w:rPr>
          <w:rFonts w:hint="eastAsia" w:ascii="宋体" w:hAnsi="宋体" w:eastAsia="宋体" w:cs="宋体"/>
          <w:sz w:val="32"/>
          <w:szCs w:val="32"/>
        </w:rPr>
        <w:fldChar w:fldCharType="separate"/>
      </w:r>
      <w:r>
        <w:rPr>
          <w:rFonts w:hint="eastAsia" w:ascii="宋体" w:hAnsi="宋体" w:eastAsia="宋体" w:cs="宋体"/>
          <w:sz w:val="32"/>
          <w:szCs w:val="32"/>
        </w:rPr>
        <w:t>36</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017D313A">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_Toc12433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二、完善林业投入体系</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_Toc12433 </w:instrText>
      </w:r>
      <w:r>
        <w:rPr>
          <w:rFonts w:hint="eastAsia" w:ascii="宋体" w:hAnsi="宋体" w:eastAsia="宋体" w:cs="宋体"/>
          <w:sz w:val="32"/>
          <w:szCs w:val="32"/>
        </w:rPr>
        <w:fldChar w:fldCharType="separate"/>
      </w:r>
      <w:r>
        <w:rPr>
          <w:rFonts w:hint="eastAsia" w:ascii="宋体" w:hAnsi="宋体" w:eastAsia="宋体" w:cs="宋体"/>
          <w:sz w:val="32"/>
          <w:szCs w:val="32"/>
        </w:rPr>
        <w:t>36</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2D98C3DA">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_Toc29239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三、坚持依靠科技兴林</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_Toc29239 </w:instrText>
      </w:r>
      <w:r>
        <w:rPr>
          <w:rFonts w:hint="eastAsia" w:ascii="宋体" w:hAnsi="宋体" w:eastAsia="宋体" w:cs="宋体"/>
          <w:sz w:val="32"/>
          <w:szCs w:val="32"/>
        </w:rPr>
        <w:fldChar w:fldCharType="separate"/>
      </w:r>
      <w:r>
        <w:rPr>
          <w:rFonts w:hint="eastAsia" w:ascii="宋体" w:hAnsi="宋体" w:eastAsia="宋体" w:cs="宋体"/>
          <w:sz w:val="32"/>
          <w:szCs w:val="32"/>
        </w:rPr>
        <w:t>37</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595E93EE">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_Toc3604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四、建立健全责任机制</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_Toc3604 </w:instrText>
      </w:r>
      <w:r>
        <w:rPr>
          <w:rFonts w:hint="eastAsia" w:ascii="宋体" w:hAnsi="宋体" w:eastAsia="宋体" w:cs="宋体"/>
          <w:sz w:val="32"/>
          <w:szCs w:val="32"/>
        </w:rPr>
        <w:fldChar w:fldCharType="separate"/>
      </w:r>
      <w:r>
        <w:rPr>
          <w:rFonts w:hint="eastAsia" w:ascii="宋体" w:hAnsi="宋体" w:eastAsia="宋体" w:cs="宋体"/>
          <w:sz w:val="32"/>
          <w:szCs w:val="32"/>
        </w:rPr>
        <w:t>37</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2F198CEF">
      <w:pPr>
        <w:pStyle w:val="11"/>
        <w:keepNext w:val="0"/>
        <w:keepLines w:val="0"/>
        <w:pageBreakBefore w:val="0"/>
        <w:widowControl w:val="0"/>
        <w:tabs>
          <w:tab w:val="right" w:leader="dot" w:pos="8732"/>
        </w:tabs>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_Toc31874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五、抓好队伍建设</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_Toc31874 </w:instrText>
      </w:r>
      <w:r>
        <w:rPr>
          <w:rFonts w:hint="eastAsia" w:ascii="宋体" w:hAnsi="宋体" w:eastAsia="宋体" w:cs="宋体"/>
          <w:sz w:val="32"/>
          <w:szCs w:val="32"/>
        </w:rPr>
        <w:fldChar w:fldCharType="separate"/>
      </w:r>
      <w:r>
        <w:rPr>
          <w:rFonts w:hint="eastAsia" w:ascii="宋体" w:hAnsi="宋体" w:eastAsia="宋体" w:cs="宋体"/>
          <w:sz w:val="32"/>
          <w:szCs w:val="32"/>
        </w:rPr>
        <w:t>38</w:t>
      </w:r>
      <w:r>
        <w:rPr>
          <w:rFonts w:hint="eastAsia" w:ascii="宋体" w:hAnsi="宋体" w:eastAsia="宋体" w:cs="宋体"/>
          <w:sz w:val="32"/>
          <w:szCs w:val="32"/>
        </w:rPr>
        <w:fldChar w:fldCharType="end"/>
      </w:r>
      <w:r>
        <w:rPr>
          <w:rFonts w:hint="eastAsia" w:ascii="宋体" w:hAnsi="宋体" w:eastAsia="宋体" w:cs="宋体"/>
          <w:bCs w:val="0"/>
          <w:sz w:val="32"/>
          <w:szCs w:val="32"/>
        </w:rPr>
        <w:fldChar w:fldCharType="end"/>
      </w:r>
    </w:p>
    <w:p w14:paraId="6BF761BD">
      <w:pPr>
        <w:pStyle w:val="3"/>
        <w:pageBreakBefore w:val="0"/>
        <w:widowControl w:val="0"/>
        <w:kinsoku/>
        <w:wordWrap/>
        <w:overflowPunct/>
        <w:topLinePunct w:val="0"/>
        <w:autoSpaceDE/>
        <w:autoSpaceDN/>
        <w:bidi w:val="0"/>
        <w:adjustRightInd/>
        <w:snapToGrid/>
        <w:spacing w:line="560" w:lineRule="exact"/>
        <w:textAlignment w:val="auto"/>
        <w:rPr>
          <w:rFonts w:hint="eastAsia"/>
          <w:b w:val="0"/>
          <w:bCs w:val="0"/>
        </w:rPr>
      </w:pPr>
      <w:r>
        <w:rPr>
          <w:rFonts w:hint="eastAsia" w:ascii="宋体" w:hAnsi="宋体" w:eastAsia="宋体" w:cs="宋体"/>
          <w:bCs w:val="0"/>
          <w:szCs w:val="30"/>
        </w:rPr>
        <w:fldChar w:fldCharType="end"/>
      </w:r>
      <w:bookmarkStart w:id="14" w:name="_Toc8700"/>
    </w:p>
    <w:p w14:paraId="760B465F">
      <w:pPr>
        <w:pStyle w:val="3"/>
        <w:pageBreakBefore w:val="0"/>
        <w:widowControl w:val="0"/>
        <w:kinsoku/>
        <w:wordWrap/>
        <w:overflowPunct/>
        <w:topLinePunct w:val="0"/>
        <w:autoSpaceDE/>
        <w:autoSpaceDN/>
        <w:bidi w:val="0"/>
        <w:adjustRightInd/>
        <w:snapToGrid/>
        <w:spacing w:line="560" w:lineRule="exact"/>
        <w:textAlignment w:val="auto"/>
        <w:rPr>
          <w:rFonts w:hint="eastAsia"/>
          <w:b w:val="0"/>
          <w:bCs w:val="0"/>
          <w:szCs w:val="32"/>
        </w:rPr>
        <w:sectPr>
          <w:footerReference r:id="rId3" w:type="default"/>
          <w:pgSz w:w="11906" w:h="16838"/>
          <w:pgMar w:top="1701" w:right="1587" w:bottom="1474" w:left="1587" w:header="851" w:footer="992" w:gutter="0"/>
          <w:pgNumType w:start="1"/>
          <w:cols w:space="0" w:num="1"/>
          <w:docGrid w:linePitch="312" w:charSpace="0"/>
        </w:sectPr>
      </w:pPr>
    </w:p>
    <w:p w14:paraId="35DEF21C">
      <w:pPr>
        <w:pStyle w:val="3"/>
        <w:pageBreakBefore w:val="0"/>
        <w:widowControl w:val="0"/>
        <w:kinsoku/>
        <w:wordWrap/>
        <w:overflowPunct/>
        <w:topLinePunct w:val="0"/>
        <w:autoSpaceDE/>
        <w:autoSpaceDN/>
        <w:bidi w:val="0"/>
        <w:adjustRightInd/>
        <w:snapToGrid/>
        <w:spacing w:line="560" w:lineRule="exact"/>
        <w:textAlignment w:val="auto"/>
        <w:rPr>
          <w:b w:val="0"/>
          <w:bCs w:val="0"/>
          <w:szCs w:val="32"/>
        </w:rPr>
      </w:pPr>
      <w:bookmarkStart w:id="15" w:name="_Toc24435"/>
      <w:r>
        <w:rPr>
          <w:rFonts w:hint="eastAsia"/>
          <w:b w:val="0"/>
          <w:bCs w:val="0"/>
          <w:szCs w:val="32"/>
        </w:rPr>
        <w:t>第一章</w:t>
      </w:r>
      <w:r>
        <w:rPr>
          <w:rFonts w:hint="eastAsia"/>
          <w:b w:val="0"/>
          <w:bCs w:val="0"/>
          <w:szCs w:val="32"/>
          <w:lang w:val="en-US" w:eastAsia="zh-CN"/>
        </w:rPr>
        <w:t xml:space="preserve">  </w:t>
      </w:r>
      <w:r>
        <w:rPr>
          <w:rFonts w:hint="eastAsia"/>
          <w:b w:val="0"/>
          <w:bCs w:val="0"/>
          <w:szCs w:val="32"/>
        </w:rPr>
        <w:t>“十三五”林业发展简要回顾</w:t>
      </w:r>
      <w:bookmarkEnd w:id="14"/>
      <w:bookmarkEnd w:id="15"/>
    </w:p>
    <w:p w14:paraId="3749553B">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十三五”期间，在区委、区政府的正确领导下，曾都区林业局以建设生态文明新区和产业强区为目标，以转变产业发展方式为主线，以依法治林为保障，以科技兴林为支撑，加快林业改革与发展的提质提升，全面推进林业生态体系、林业产业体系和森林文化体系建设。“十三五”期间，林业生态环境明显改善，林业产业实力显著增强，森林文化体系渐趋完善。</w:t>
      </w:r>
    </w:p>
    <w:p w14:paraId="1E002658">
      <w:pPr>
        <w:pStyle w:val="2"/>
        <w:spacing w:line="600" w:lineRule="exact"/>
        <w:ind w:firstLine="640"/>
        <w:rPr>
          <w:b/>
          <w:bCs/>
        </w:rPr>
      </w:pPr>
      <w:bookmarkStart w:id="16" w:name="_Toc25117"/>
      <w:bookmarkStart w:id="17" w:name="_Toc5673"/>
      <w:r>
        <w:rPr>
          <w:rFonts w:hint="eastAsia"/>
          <w:b/>
          <w:bCs/>
        </w:rPr>
        <w:t>一、取得的成绩</w:t>
      </w:r>
      <w:bookmarkEnd w:id="16"/>
      <w:bookmarkEnd w:id="17"/>
    </w:p>
    <w:p w14:paraId="582934E7">
      <w:pPr>
        <w:spacing w:line="600" w:lineRule="exact"/>
        <w:ind w:firstLine="643" w:firstLineChars="200"/>
        <w:outlineLvl w:val="2"/>
        <w:rPr>
          <w:rFonts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（一）林业生态建设成绩斐然</w:t>
      </w:r>
    </w:p>
    <w:p w14:paraId="372AA7D1">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2016年以来，全区完成人工造林3.42万亩，通道绿化总面积3681亩；打造森林城镇2个，创建国家森林乡村5个、省级绿色示范村31个、市级绿色示范村14个，打造庭院绿化亮点700余处，累计植树72万株；完成中幼林抚育18.68万亩。</w:t>
      </w:r>
    </w:p>
    <w:p w14:paraId="1099BEF7">
      <w:pPr>
        <w:spacing w:line="600" w:lineRule="exact"/>
        <w:ind w:firstLine="643" w:firstLineChars="200"/>
        <w:outlineLvl w:val="2"/>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（二）森林资源管理成效显著</w:t>
      </w:r>
    </w:p>
    <w:p w14:paraId="61C09F62">
      <w:pPr>
        <w:spacing w:line="600" w:lineRule="exact"/>
        <w:ind w:firstLine="640" w:firstLineChars="200"/>
        <w:rPr>
          <w:rFonts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1、严格执行林木采伐限额管理。除重大建设项目征占用林地采伐、商品林（杨树）和农民袋料香菇用材采伐外，全面实行封山育林（2015年12月31日-2018年12月31日），加强对天然林和生态公益</w:t>
      </w:r>
      <w:r>
        <w:rPr>
          <w:rFonts w:hint="eastAsia" w:ascii="仿宋_GB2312" w:hAnsi="仿宋_GB2312" w:eastAsia="仿宋_GB2312" w:cs="仿宋_GB2312"/>
          <w:b w:val="0"/>
          <w:bCs w:val="0"/>
          <w:sz w:val="32"/>
          <w:szCs w:val="32"/>
          <w:highlight w:val="none"/>
          <w:lang w:eastAsia="zh-CN"/>
        </w:rPr>
        <w:t>林</w:t>
      </w:r>
      <w:r>
        <w:rPr>
          <w:rFonts w:hint="eastAsia" w:ascii="仿宋_GB2312" w:hAnsi="仿宋_GB2312" w:eastAsia="仿宋_GB2312" w:cs="仿宋_GB2312"/>
          <w:b w:val="0"/>
          <w:bCs w:val="0"/>
          <w:sz w:val="32"/>
          <w:szCs w:val="32"/>
          <w:highlight w:val="none"/>
        </w:rPr>
        <w:t>采伐管理。</w:t>
      </w:r>
      <w:r>
        <w:rPr>
          <w:rFonts w:hint="eastAsia" w:ascii="仿宋_GB2312" w:hAnsi="仿宋_GB2312" w:eastAsia="仿宋_GB2312" w:cs="仿宋_GB2312"/>
          <w:b w:val="0"/>
          <w:bCs w:val="0"/>
          <w:sz w:val="32"/>
          <w:szCs w:val="32"/>
        </w:rPr>
        <w:t>停止天然林、公益林商业性采伐；禁止大面积皆伐</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color w:val="000000"/>
          <w:sz w:val="32"/>
          <w:szCs w:val="32"/>
          <w:highlight w:val="none"/>
        </w:rPr>
        <w:t>年采伐限额控制在省下达的年度限额总量的20%以内</w:t>
      </w:r>
      <w:r>
        <w:rPr>
          <w:rFonts w:hint="eastAsia" w:ascii="仿宋_GB2312" w:hAnsi="仿宋_GB2312" w:eastAsia="仿宋_GB2312" w:cs="仿宋_GB2312"/>
          <w:b w:val="0"/>
          <w:bCs w:val="0"/>
          <w:sz w:val="32"/>
          <w:szCs w:val="32"/>
          <w:highlight w:val="none"/>
        </w:rPr>
        <w:t>。</w:t>
      </w:r>
    </w:p>
    <w:p w14:paraId="02CA9DE6">
      <w:pPr>
        <w:spacing w:line="600" w:lineRule="exact"/>
        <w:ind w:firstLine="640" w:firstLineChars="200"/>
        <w:rPr>
          <w:rFonts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2、规范木材经营加工行为。强化了“林木采伐许可证”核发、取消了“木材运输证”的办理（2020年7月1日后），积极履行事中事后监管职责，定期对木材加工企业进行检查监督，建立林木流通信息管理台账，规范了木材经营加工企业的经营行为，全区木材经营加工秩序良好。</w:t>
      </w:r>
    </w:p>
    <w:p w14:paraId="12965A1D">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3、强化森林防灭火管理工作。“十三五”期间未发生大的森林火灾和人员伤亡事故，森林火灾控制在3‰以内。</w:t>
      </w:r>
    </w:p>
    <w:p w14:paraId="3E8170EB">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4、加强湿地资源管理。积极宣传湿地保护政策，严格湿地保护红线，坚决实行占一补一的原则，确保湿地保护面积不减少。</w:t>
      </w:r>
    </w:p>
    <w:p w14:paraId="659403D4">
      <w:pPr>
        <w:spacing w:line="600" w:lineRule="exact"/>
        <w:ind w:firstLine="640" w:firstLineChars="200"/>
        <w:rPr>
          <w:rFonts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5、加强古树管理工作。完成了全区古树资源普查工作，建立和完善全区古树资源档案信息，完成了全区三级古树保护公示工作，做到应保尽保，对全区所有建档古树实行分级保护、挂牌公示，定期对古树的健康状况、生长环境、生长情况、保护现状进行动态监测和跟踪管理，全面准确掌握我区古树资源变化，及时开展了古树养护和复壮工作。</w:t>
      </w:r>
    </w:p>
    <w:p w14:paraId="7110BA26">
      <w:pPr>
        <w:spacing w:line="600" w:lineRule="exact"/>
        <w:ind w:firstLine="640" w:firstLineChars="200"/>
        <w:rPr>
          <w:rFonts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6、加强林地征占用审批和管理。严格执行《曾都区林地保护利用规划（2010-2020年）》（曾政函</w:t>
      </w:r>
      <w:r>
        <w:rPr>
          <w:rFonts w:hint="eastAsia" w:ascii="仿宋_GB2312" w:hAnsi="仿宋_GB2312" w:eastAsia="仿宋_GB2312" w:cs="仿宋_GB2312"/>
          <w:b w:val="0"/>
          <w:bCs w:val="0"/>
          <w:sz w:val="32"/>
          <w:szCs w:val="32"/>
          <w:highlight w:val="none"/>
          <w:lang w:eastAsia="zh-CN"/>
        </w:rPr>
        <w:t>〔2013〕28号</w:t>
      </w:r>
      <w:r>
        <w:rPr>
          <w:rFonts w:hint="eastAsia" w:ascii="仿宋_GB2312" w:hAnsi="仿宋_GB2312" w:eastAsia="仿宋_GB2312" w:cs="仿宋_GB2312"/>
          <w:b w:val="0"/>
          <w:bCs w:val="0"/>
          <w:sz w:val="32"/>
          <w:szCs w:val="32"/>
          <w:highlight w:val="none"/>
        </w:rPr>
        <w:t>），加强对林地保护管理，坚守林地红线，严格执行林地征占用审批制度，持续开展了“冬春严打”、“绿盾行动”“春季治安攻势”、</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rPr>
        <w:t>打击非法征占用林地</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清理非法违建别墅</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sz w:val="32"/>
          <w:szCs w:val="32"/>
          <w:highlight w:val="none"/>
          <w:lang w:eastAsia="zh-CN"/>
        </w:rPr>
        <w:t>“打击</w:t>
      </w:r>
      <w:r>
        <w:rPr>
          <w:rFonts w:hint="eastAsia" w:ascii="仿宋_GB2312" w:hAnsi="仿宋_GB2312" w:eastAsia="仿宋_GB2312" w:cs="仿宋_GB2312"/>
          <w:b w:val="0"/>
          <w:bCs w:val="0"/>
          <w:sz w:val="32"/>
          <w:szCs w:val="32"/>
          <w:highlight w:val="none"/>
        </w:rPr>
        <w:t>非法毁林开垦</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等专项行动，严厉打击了各类破坏林地的违法犯罪行为，有力保护了林地资源，取得良好效果。</w:t>
      </w:r>
    </w:p>
    <w:p w14:paraId="138AFA8D">
      <w:pPr>
        <w:spacing w:line="600" w:lineRule="exact"/>
        <w:ind w:firstLine="640" w:firstLineChars="200"/>
        <w:rPr>
          <w:rFonts w:ascii="仿宋_GB2312" w:eastAsia="仿宋_GB2312"/>
          <w:b w:val="0"/>
          <w:bCs w:val="0"/>
          <w:sz w:val="32"/>
          <w:szCs w:val="32"/>
          <w:highlight w:val="none"/>
        </w:rPr>
      </w:pPr>
      <w:r>
        <w:rPr>
          <w:rFonts w:hint="eastAsia" w:ascii="仿宋_GB2312" w:eastAsia="仿宋_GB2312"/>
          <w:b w:val="0"/>
          <w:bCs w:val="0"/>
          <w:sz w:val="32"/>
          <w:szCs w:val="32"/>
        </w:rPr>
        <w:t>7、加强</w:t>
      </w:r>
      <w:r>
        <w:rPr>
          <w:rFonts w:hint="eastAsia" w:ascii="仿宋_GB2312" w:hAnsi="黑体" w:eastAsia="仿宋_GB2312"/>
          <w:b w:val="0"/>
          <w:bCs w:val="0"/>
          <w:sz w:val="32"/>
          <w:szCs w:val="32"/>
        </w:rPr>
        <w:t>林业有害生物防控。</w:t>
      </w:r>
      <w:r>
        <w:rPr>
          <w:rFonts w:hint="eastAsia" w:ascii="仿宋_GB2312" w:eastAsia="仿宋_GB2312"/>
          <w:b w:val="0"/>
          <w:bCs w:val="0"/>
          <w:sz w:val="32"/>
          <w:szCs w:val="32"/>
        </w:rPr>
        <w:t>一是进行了全面监测。设美国白蛾固定监测点60个、松材线虫病监测点30个，强化对重大林业有害生物的监测，分别实行周报告和月报告制度。目前我区尚未发现美国白蛾，松材线虫病仍有扩散的危险。二是采取综合措施，开展松材线虫病防控。清除疫木，减少病源，</w:t>
      </w:r>
      <w:r>
        <w:rPr>
          <w:rFonts w:hint="eastAsia" w:ascii="仿宋_GB2312" w:eastAsia="仿宋_GB2312"/>
          <w:b w:val="0"/>
          <w:bCs w:val="0"/>
          <w:sz w:val="32"/>
          <w:szCs w:val="32"/>
          <w:highlight w:val="none"/>
        </w:rPr>
        <w:t>2016</w:t>
      </w:r>
      <w:r>
        <w:rPr>
          <w:rFonts w:hint="eastAsia" w:ascii="仿宋_GB2312" w:eastAsia="仿宋_GB2312"/>
          <w:b w:val="0"/>
          <w:bCs w:val="0"/>
          <w:sz w:val="32"/>
          <w:szCs w:val="32"/>
          <w:highlight w:val="none"/>
          <w:lang w:eastAsia="zh-CN"/>
        </w:rPr>
        <w:t>年</w:t>
      </w:r>
      <w:r>
        <w:rPr>
          <w:rFonts w:hint="eastAsia" w:ascii="仿宋_GB2312" w:eastAsia="仿宋_GB2312"/>
          <w:b w:val="0"/>
          <w:bCs w:val="0"/>
          <w:sz w:val="32"/>
          <w:szCs w:val="32"/>
          <w:highlight w:val="none"/>
        </w:rPr>
        <w:t>至2020年共计清理疫木</w:t>
      </w:r>
      <w:r>
        <w:rPr>
          <w:rFonts w:hint="eastAsia" w:ascii="仿宋_GB2312" w:eastAsia="仿宋_GB2312"/>
          <w:b w:val="0"/>
          <w:bCs w:val="0"/>
          <w:sz w:val="32"/>
          <w:szCs w:val="32"/>
          <w:highlight w:val="none"/>
          <w:lang w:val="en-US" w:eastAsia="zh-CN"/>
        </w:rPr>
        <w:t>199256</w:t>
      </w:r>
      <w:r>
        <w:rPr>
          <w:rFonts w:hint="eastAsia" w:ascii="仿宋_GB2312" w:eastAsia="仿宋_GB2312"/>
          <w:b w:val="0"/>
          <w:bCs w:val="0"/>
          <w:sz w:val="32"/>
          <w:szCs w:val="32"/>
          <w:highlight w:val="none"/>
        </w:rPr>
        <w:t>株。</w:t>
      </w:r>
    </w:p>
    <w:p w14:paraId="04F6225D">
      <w:pPr>
        <w:spacing w:line="600" w:lineRule="exact"/>
        <w:ind w:firstLine="640" w:firstLineChars="200"/>
        <w:rPr>
          <w:rFonts w:ascii="仿宋_GB2312" w:hAnsi="仿宋" w:eastAsia="仿宋_GB2312" w:cs="仿宋"/>
          <w:b w:val="0"/>
          <w:bCs w:val="0"/>
          <w:sz w:val="32"/>
          <w:szCs w:val="32"/>
        </w:rPr>
      </w:pPr>
      <w:r>
        <w:rPr>
          <w:rFonts w:hint="eastAsia" w:ascii="仿宋_GB2312" w:hAnsi="仿宋_GB2312" w:eastAsia="仿宋_GB2312" w:cs="仿宋_GB2312"/>
          <w:b w:val="0"/>
          <w:bCs w:val="0"/>
          <w:sz w:val="32"/>
          <w:szCs w:val="32"/>
        </w:rPr>
        <w:t>8、</w:t>
      </w:r>
      <w:r>
        <w:rPr>
          <w:rFonts w:hint="eastAsia" w:ascii="仿宋_GB2312" w:hAnsi="仿宋_GB2312" w:eastAsia="仿宋_GB2312" w:cs="仿宋_GB2312"/>
          <w:b w:val="0"/>
          <w:bCs w:val="0"/>
          <w:sz w:val="32"/>
          <w:szCs w:val="32"/>
          <w:lang w:eastAsia="zh-CN"/>
        </w:rPr>
        <w:t>加强野生动物保护管理工作。特别是在</w:t>
      </w:r>
      <w:r>
        <w:rPr>
          <w:rFonts w:hint="eastAsia" w:ascii="仿宋_GB2312" w:hAnsi="仿宋_GB2312" w:eastAsia="仿宋_GB2312" w:cs="仿宋_GB2312"/>
          <w:b w:val="0"/>
          <w:bCs w:val="0"/>
          <w:sz w:val="32"/>
          <w:szCs w:val="32"/>
          <w:lang w:val="en-US" w:eastAsia="zh-CN"/>
        </w:rPr>
        <w:t>2020年</w:t>
      </w:r>
      <w:r>
        <w:rPr>
          <w:rFonts w:hint="eastAsia" w:ascii="仿宋_GB2312" w:hAnsi="仿宋_GB2312" w:eastAsia="仿宋_GB2312" w:cs="仿宋_GB2312"/>
          <w:b w:val="0"/>
          <w:bCs w:val="0"/>
          <w:sz w:val="32"/>
          <w:szCs w:val="32"/>
          <w:lang w:eastAsia="zh-CN"/>
        </w:rPr>
        <w:t>新冠肺炎防控期间，</w:t>
      </w:r>
      <w:r>
        <w:rPr>
          <w:rFonts w:hint="eastAsia" w:ascii="仿宋_GB2312" w:hAnsi="仿宋" w:eastAsia="仿宋_GB2312" w:cs="仿宋"/>
          <w:b w:val="0"/>
          <w:bCs w:val="0"/>
          <w:sz w:val="32"/>
          <w:szCs w:val="32"/>
        </w:rPr>
        <w:t>统筹推进疫情防控与禁食野生动物专项行动</w:t>
      </w:r>
      <w:r>
        <w:rPr>
          <w:rFonts w:hint="eastAsia" w:ascii="仿宋_GB2312" w:hAnsi="仿宋" w:eastAsia="仿宋_GB2312" w:cs="仿宋"/>
          <w:b w:val="0"/>
          <w:bCs w:val="0"/>
          <w:sz w:val="32"/>
          <w:szCs w:val="32"/>
          <w:lang w:eastAsia="zh-CN"/>
        </w:rPr>
        <w:t>。</w:t>
      </w:r>
      <w:r>
        <w:rPr>
          <w:rFonts w:hint="eastAsia" w:ascii="仿宋_GB2312" w:hAnsi="仿宋" w:eastAsia="仿宋_GB2312" w:cs="仿宋"/>
          <w:b w:val="0"/>
          <w:bCs w:val="0"/>
          <w:sz w:val="32"/>
          <w:szCs w:val="32"/>
        </w:rPr>
        <w:t>认真排查野生动物驯养繁殖场所，做好宣传、督促消毒预防工作。在疫情防控期间，对各类野生动物经营场所进行清查，出动人员600余人次，清查野生动物驯养繁殖场所8处，封存人工繁育野生动物场所圈养野生动物252</w:t>
      </w:r>
      <w:r>
        <w:rPr>
          <w:rFonts w:hint="eastAsia" w:ascii="仿宋_GB2312" w:hAnsi="仿宋" w:eastAsia="仿宋_GB2312" w:cs="仿宋"/>
          <w:b w:val="0"/>
          <w:bCs w:val="0"/>
          <w:sz w:val="32"/>
          <w:szCs w:val="32"/>
          <w:lang w:val="en-US" w:eastAsia="zh-CN"/>
        </w:rPr>
        <w:t>6</w:t>
      </w:r>
      <w:r>
        <w:rPr>
          <w:rFonts w:hint="eastAsia" w:ascii="仿宋_GB2312" w:hAnsi="仿宋" w:eastAsia="仿宋_GB2312" w:cs="仿宋"/>
          <w:b w:val="0"/>
          <w:bCs w:val="0"/>
          <w:sz w:val="32"/>
          <w:szCs w:val="32"/>
        </w:rPr>
        <w:t>只（猕猴2506只、食蟹猴15只、蓝孔雀5只），封存动物园和动物展演场所野生动物29只（梅花鹿13只、蓝孔雀16只），清查集贸市场260处（次），清理餐饮场所336处，拆除野味广告招牌13块，开展普法宣传500余次</w:t>
      </w:r>
      <w:r>
        <w:rPr>
          <w:rFonts w:hint="eastAsia" w:ascii="仿宋_GB2312" w:hAnsi="仿宋" w:eastAsia="仿宋_GB2312" w:cs="仿宋"/>
          <w:b w:val="0"/>
          <w:bCs w:val="0"/>
          <w:sz w:val="32"/>
          <w:szCs w:val="32"/>
          <w:highlight w:val="none"/>
        </w:rPr>
        <w:t>。201</w:t>
      </w:r>
      <w:r>
        <w:rPr>
          <w:rFonts w:hint="eastAsia" w:ascii="仿宋_GB2312" w:hAnsi="仿宋" w:eastAsia="仿宋_GB2312" w:cs="仿宋"/>
          <w:b w:val="0"/>
          <w:bCs w:val="0"/>
          <w:sz w:val="32"/>
          <w:szCs w:val="32"/>
          <w:highlight w:val="none"/>
          <w:lang w:val="en-US" w:eastAsia="zh-CN"/>
        </w:rPr>
        <w:t>6</w:t>
      </w:r>
      <w:r>
        <w:rPr>
          <w:rFonts w:hint="eastAsia" w:ascii="仿宋_GB2312" w:hAnsi="仿宋" w:eastAsia="仿宋_GB2312" w:cs="仿宋"/>
          <w:b w:val="0"/>
          <w:bCs w:val="0"/>
          <w:sz w:val="32"/>
          <w:szCs w:val="32"/>
          <w:highlight w:val="none"/>
        </w:rPr>
        <w:t>年-202</w:t>
      </w:r>
      <w:r>
        <w:rPr>
          <w:rFonts w:hint="eastAsia" w:ascii="仿宋_GB2312" w:hAnsi="仿宋" w:eastAsia="仿宋_GB2312" w:cs="仿宋"/>
          <w:b w:val="0"/>
          <w:bCs w:val="0"/>
          <w:sz w:val="32"/>
          <w:szCs w:val="32"/>
          <w:highlight w:val="none"/>
          <w:lang w:val="en-US" w:eastAsia="zh-CN"/>
        </w:rPr>
        <w:t>0</w:t>
      </w:r>
      <w:r>
        <w:rPr>
          <w:rFonts w:hint="eastAsia" w:ascii="仿宋_GB2312" w:hAnsi="仿宋" w:eastAsia="仿宋_GB2312" w:cs="仿宋"/>
          <w:b w:val="0"/>
          <w:bCs w:val="0"/>
          <w:sz w:val="32"/>
          <w:szCs w:val="32"/>
          <w:highlight w:val="none"/>
        </w:rPr>
        <w:t>年</w:t>
      </w:r>
      <w:r>
        <w:rPr>
          <w:rFonts w:hint="eastAsia" w:ascii="仿宋_GB2312" w:hAnsi="仿宋" w:eastAsia="仿宋_GB2312"/>
          <w:b w:val="0"/>
          <w:bCs w:val="0"/>
          <w:sz w:val="32"/>
          <w:szCs w:val="32"/>
          <w:highlight w:val="none"/>
        </w:rPr>
        <w:t>共</w:t>
      </w:r>
      <w:r>
        <w:rPr>
          <w:rFonts w:hint="eastAsia" w:ascii="仿宋_GB2312" w:hAnsi="仿宋" w:eastAsia="仿宋_GB2312"/>
          <w:b w:val="0"/>
          <w:bCs w:val="0"/>
          <w:color w:val="333333"/>
          <w:sz w:val="32"/>
          <w:szCs w:val="32"/>
          <w:highlight w:val="none"/>
          <w:shd w:val="clear" w:color="auto" w:fill="FFFFFF"/>
        </w:rPr>
        <w:t>办理涉野生动物案件</w:t>
      </w:r>
      <w:r>
        <w:rPr>
          <w:rFonts w:hint="eastAsia" w:ascii="仿宋_GB2312" w:hAnsi="仿宋" w:eastAsia="仿宋_GB2312"/>
          <w:b w:val="0"/>
          <w:bCs w:val="0"/>
          <w:color w:val="333333"/>
          <w:sz w:val="32"/>
          <w:szCs w:val="32"/>
          <w:highlight w:val="none"/>
          <w:shd w:val="clear" w:color="auto" w:fill="FFFFFF"/>
          <w:lang w:val="en-US" w:eastAsia="zh-CN"/>
        </w:rPr>
        <w:t>13</w:t>
      </w:r>
      <w:r>
        <w:rPr>
          <w:rFonts w:hint="eastAsia" w:ascii="仿宋_GB2312" w:hAnsi="仿宋" w:eastAsia="仿宋_GB2312"/>
          <w:b w:val="0"/>
          <w:bCs w:val="0"/>
          <w:sz w:val="32"/>
          <w:szCs w:val="32"/>
          <w:highlight w:val="none"/>
        </w:rPr>
        <w:t>起。圆</w:t>
      </w:r>
      <w:r>
        <w:rPr>
          <w:rFonts w:hint="eastAsia" w:ascii="仿宋_GB2312" w:hAnsi="仿宋" w:eastAsia="仿宋_GB2312"/>
          <w:b w:val="0"/>
          <w:bCs w:val="0"/>
          <w:sz w:val="32"/>
          <w:szCs w:val="32"/>
        </w:rPr>
        <w:t>满完成野生动物养殖退养工作。</w:t>
      </w:r>
      <w:r>
        <w:rPr>
          <w:rFonts w:hint="eastAsia" w:ascii="仿宋_GB2312" w:hAnsi="仿宋" w:eastAsia="仿宋_GB2312" w:cs="仿宋"/>
          <w:b w:val="0"/>
          <w:bCs w:val="0"/>
          <w:sz w:val="32"/>
          <w:szCs w:val="32"/>
        </w:rPr>
        <w:t>同时，加大野外巡查力度，积极参与、配合H7N9禽流感和非洲猪瘟防控工作。目前，没有发现野生动物发生疫病情况</w:t>
      </w:r>
    </w:p>
    <w:p w14:paraId="0DFEE092">
      <w:pPr>
        <w:spacing w:line="600" w:lineRule="exact"/>
        <w:ind w:firstLine="643" w:firstLineChars="200"/>
        <w:outlineLvl w:val="2"/>
        <w:rPr>
          <w:rFonts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（三）林业产业发展全面提速</w:t>
      </w:r>
    </w:p>
    <w:p w14:paraId="5903551B">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是建设湖北现代林业曾都创汇科技产业园，形成以吉林森工湖北人造板有限公司为龙头的木材加工产业集群。二是扶持木本油料产业发展，重点支持湖北田丰现代农业股份有限公司、舜天粮油产业有限公司等龙头企业开展油茶及副产品精深加工。三是加快构建多点支撑特色林业产业格局，重点支持三友（随州）食品有限公司、神</w:t>
      </w:r>
      <w:r>
        <w:rPr>
          <w:rFonts w:hint="eastAsia" w:ascii="仿宋_GB2312" w:hAnsi="仿宋_GB2312" w:eastAsia="仿宋_GB2312" w:cs="仿宋_GB2312"/>
          <w:b w:val="0"/>
          <w:bCs w:val="0"/>
          <w:sz w:val="32"/>
          <w:szCs w:val="32"/>
          <w:lang w:eastAsia="zh-CN"/>
        </w:rPr>
        <w:t>农</w:t>
      </w:r>
      <w:r>
        <w:rPr>
          <w:rFonts w:hint="eastAsia" w:ascii="仿宋_GB2312" w:hAnsi="仿宋_GB2312" w:eastAsia="仿宋_GB2312" w:cs="仿宋_GB2312"/>
          <w:b w:val="0"/>
          <w:bCs w:val="0"/>
          <w:sz w:val="32"/>
          <w:szCs w:val="32"/>
        </w:rPr>
        <w:t>生态食品有限公司等企业发展食用菌加工出口产业。四是建设工业原料林、菇耳林、木本油料林、特色经济林、苗木及花卉产业基地，2016-2020年，全区共营造湿地松、杨树工业原料林1.64万亩，新建菇耳林基地0.5万亩，木本油料林0.5万亩，经济林0.6万亩，建设花卉及绿化苗木产业基地0.1万亩。五是大力发展森林旅游，湖北随州银杏省级森林公园基础设施建设不断完善，各项功能和景区知名度大大提升，年游客接待量和旅游经济收入逐年增长。</w:t>
      </w:r>
    </w:p>
    <w:p w14:paraId="3A34A682">
      <w:pPr>
        <w:spacing w:line="600" w:lineRule="exact"/>
        <w:ind w:firstLine="643" w:firstLineChars="200"/>
        <w:outlineLvl w:val="2"/>
        <w:rPr>
          <w:rFonts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（四）林业基础设施及体系建设初见成效</w:t>
      </w:r>
    </w:p>
    <w:p w14:paraId="666A2FB3">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是新建湖北省随州市曾都区乡土树种林木种苗示范基地一个，总规模363亩，总投资74.581万元。二是完善林业执法体系，整合林业行政执法力量，组建曾都区林业综合执法机构。三是国有林场改革已基本完成，并通过省级验收。2016年以来，国有谢家寨林场累计投资514万，用于林区道路、安全饮水、供水供电、通讯等基础设施建设。</w:t>
      </w:r>
    </w:p>
    <w:p w14:paraId="2CBCC994">
      <w:pPr>
        <w:pStyle w:val="2"/>
        <w:bidi w:val="0"/>
      </w:pPr>
      <w:bookmarkStart w:id="18" w:name="_Toc1752"/>
      <w:bookmarkStart w:id="19" w:name="_Toc13545"/>
      <w:r>
        <w:rPr>
          <w:rFonts w:hint="eastAsia"/>
        </w:rPr>
        <w:t>二、存在的主要问题及原因分析</w:t>
      </w:r>
      <w:bookmarkEnd w:id="18"/>
      <w:bookmarkEnd w:id="19"/>
    </w:p>
    <w:p w14:paraId="3E833871">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“十三五”以来，我区的林业发展虽然取得了一定成绩，积累了一定的改革与发展经验，但林业建设相对于全区国民经济整体发展要求来说，仍存在许多问题，突出表现在：</w:t>
      </w:r>
    </w:p>
    <w:p w14:paraId="2C68CD02">
      <w:pPr>
        <w:pStyle w:val="4"/>
        <w:bidi w:val="0"/>
      </w:pPr>
      <w:r>
        <w:rPr>
          <w:rFonts w:hint="eastAsia"/>
        </w:rPr>
        <w:t>（一）管绿护绿责任重、压力大</w:t>
      </w:r>
    </w:p>
    <w:p w14:paraId="256D6122">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随着近年来连续开展的林业增绿增效行动，全区森林面积不断增加</w:t>
      </w:r>
      <w:r>
        <w:rPr>
          <w:rFonts w:hint="eastAsia" w:ascii="仿宋_GB2312" w:hAnsi="仿宋_GB2312" w:eastAsia="仿宋_GB2312" w:cs="仿宋_GB2312"/>
          <w:b w:val="0"/>
          <w:bCs w:val="0"/>
          <w:color w:val="FF0000"/>
          <w:sz w:val="32"/>
          <w:szCs w:val="32"/>
        </w:rPr>
        <w:t>，</w:t>
      </w:r>
      <w:r>
        <w:rPr>
          <w:rFonts w:hint="eastAsia" w:ascii="仿宋_GB2312" w:hAnsi="仿宋_GB2312" w:eastAsia="仿宋_GB2312" w:cs="仿宋_GB2312"/>
          <w:b w:val="0"/>
          <w:bCs w:val="0"/>
          <w:sz w:val="32"/>
          <w:szCs w:val="32"/>
        </w:rPr>
        <w:t>对森林资源利用程度不断深入，林业有害生物和森林火灾的发生风险越来越高，管绿护绿任务也随之增大。当前林区森林资源保护的基础设施仍然薄弱，林业信息化和现代技术手段落后，全区森林火灾监测预警及应急处理能力和林业有害生物防治能力仍需不断提高。</w:t>
      </w:r>
    </w:p>
    <w:p w14:paraId="4C9DE334">
      <w:pPr>
        <w:pStyle w:val="4"/>
        <w:bidi w:val="0"/>
      </w:pPr>
      <w:r>
        <w:rPr>
          <w:rFonts w:hint="eastAsia"/>
        </w:rPr>
        <w:t>（二）林业产业有待进一步调整结构</w:t>
      </w:r>
    </w:p>
    <w:p w14:paraId="67B0F153">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林业产业链目前仍集中在前端二产业，林业第三产业多集中在生态旅游观光和配套餐饮服务，需进一步深挖潜力，精准把控市场需求，发展森林研学和森林康养，打造知名品牌。</w:t>
      </w:r>
    </w:p>
    <w:p w14:paraId="6E05EECA">
      <w:pPr>
        <w:pStyle w:val="4"/>
        <w:bidi w:val="0"/>
      </w:pPr>
      <w:r>
        <w:rPr>
          <w:rFonts w:hint="eastAsia"/>
        </w:rPr>
        <w:t>（三）相关技术人才短缺</w:t>
      </w:r>
    </w:p>
    <w:p w14:paraId="2667D190">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近年来，林业发展面临森林经营主体逐步多元化、林业服务体系建设薄弱、林业资源管理任务增多、保护难度增大的新常态，基层林业部门面临严重的技术人才短缺，第一产业、第二产业基础薄弱的林业人才队伍断代的困境，导致新的林业技术推广应用不足，一定程度上影响了林业工作的有序开展。</w:t>
      </w:r>
    </w:p>
    <w:p w14:paraId="13207461">
      <w:pPr>
        <w:pStyle w:val="3"/>
        <w:spacing w:line="600" w:lineRule="exact"/>
        <w:rPr>
          <w:b w:val="0"/>
          <w:bCs w:val="0"/>
        </w:rPr>
      </w:pPr>
      <w:bookmarkStart w:id="20" w:name="_Toc15571"/>
      <w:bookmarkStart w:id="21" w:name="_Toc8155"/>
      <w:r>
        <w:rPr>
          <w:rFonts w:hint="eastAsia"/>
          <w:b w:val="0"/>
          <w:bCs w:val="0"/>
        </w:rPr>
        <w:t>第二章</w:t>
      </w:r>
      <w:r>
        <w:rPr>
          <w:rFonts w:hint="eastAsia"/>
          <w:b w:val="0"/>
          <w:bCs w:val="0"/>
          <w:lang w:val="en-US" w:eastAsia="zh-CN"/>
        </w:rPr>
        <w:t xml:space="preserve">  </w:t>
      </w:r>
      <w:r>
        <w:rPr>
          <w:rFonts w:hint="eastAsia"/>
          <w:b w:val="0"/>
          <w:bCs w:val="0"/>
        </w:rPr>
        <w:t>“十四五”林业发展的背景与机遇</w:t>
      </w:r>
      <w:bookmarkEnd w:id="20"/>
      <w:bookmarkEnd w:id="21"/>
    </w:p>
    <w:p w14:paraId="2D56DAF6">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十四五”时期，是全面贯彻落实中央和省委关于推进生态文明建设和国家治理体系和治理能力现代化等一系列重大部署的关键时期，是全面深化林业改革、贯彻落实“绿水青山就是金山银山”理念、大力发展生态经济、巩固国家森林城市和国家园林城市建设成果、创建“绿水青山就是金山银山”示范区的战略机遇期，目前国内外形势复杂多变、林业改革机遇与挑战并存，发展空间和潜力巨大。</w:t>
      </w:r>
    </w:p>
    <w:p w14:paraId="0ED35D90">
      <w:pPr>
        <w:pStyle w:val="2"/>
        <w:bidi w:val="0"/>
      </w:pPr>
      <w:bookmarkStart w:id="22" w:name="_Toc6647"/>
      <w:bookmarkStart w:id="23" w:name="_Toc29629"/>
      <w:r>
        <w:rPr>
          <w:rFonts w:hint="eastAsia"/>
        </w:rPr>
        <w:t>一、发展背景</w:t>
      </w:r>
      <w:bookmarkEnd w:id="22"/>
      <w:bookmarkEnd w:id="23"/>
    </w:p>
    <w:p w14:paraId="09A91D6A">
      <w:pPr>
        <w:spacing w:line="600" w:lineRule="exact"/>
        <w:ind w:firstLine="643" w:firstLineChars="200"/>
        <w:outlineLvl w:val="2"/>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（一）林业生态建设是推进生态文明建设的重要措施，林业生态建设是事关经济社会可持续发展的根本性问题</w:t>
      </w:r>
    </w:p>
    <w:p w14:paraId="77F94575">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党的十九届四中全会《中共中央关于坚持和完善中国特色社会主义制度、推进国家治理体系和治理能力现代化若干重大问题的决定》对生态文明制度体系和生态建设问题进行了深刻阐释，指出生态文明建设是关系中华民族永续发展的千年大计，我们必须更好地推进生态文明建设。通过国家治理体系和治理能力现代化推进来促使生态文明建设更上新台阶非常关键，是科学之举。森林作为自然生态系统的重要组成部分和人类赖以生存的生态保障，在生态文明建设中的地位和作用愈发凸显。推进生态文明建设需要林业夯实生态根基、保护生态安全，加大力度保护和修复自然生态系统；需要林业创造绿色财富、积累生态资本，加快发展绿色产业和生态经济；需要林业引领绿色理念、繁荣生态文明，推动全社会形成绿色发展方式和生活方式，形成人与自然和谐发展的新格局。这些都是新时期赋予林业的新使命，也将为林业改革发展带来良好的发展环境。</w:t>
      </w:r>
    </w:p>
    <w:p w14:paraId="55C04854">
      <w:pPr>
        <w:spacing w:line="600" w:lineRule="exact"/>
        <w:ind w:firstLine="643" w:firstLineChars="200"/>
        <w:outlineLvl w:val="2"/>
        <w:rPr>
          <w:rFonts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（二）林业生态建设是打造“绿水青山就是金山银山”示范区、实施乡村振兴战略的重要支撑</w:t>
      </w:r>
    </w:p>
    <w:p w14:paraId="383F7AEF">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为全面贯彻落实党的十九大精神，深入贯彻落实</w:t>
      </w:r>
      <w:r>
        <w:rPr>
          <w:rFonts w:hint="eastAsia" w:ascii="仿宋_GB2312" w:hAnsi="仿宋_GB2312" w:eastAsia="仿宋_GB2312" w:cs="仿宋_GB2312"/>
          <w:b w:val="0"/>
          <w:bCs w:val="0"/>
          <w:sz w:val="32"/>
          <w:szCs w:val="32"/>
          <w:lang w:eastAsia="zh-CN"/>
        </w:rPr>
        <w:t>习近平生态文明思想</w:t>
      </w:r>
      <w:r>
        <w:rPr>
          <w:rFonts w:hint="eastAsia" w:ascii="仿宋_GB2312" w:hAnsi="仿宋_GB2312" w:eastAsia="仿宋_GB2312" w:cs="仿宋_GB2312"/>
          <w:b w:val="0"/>
          <w:bCs w:val="0"/>
          <w:sz w:val="32"/>
          <w:szCs w:val="32"/>
        </w:rPr>
        <w:t>，统筹山水林田湖草系统治理创新创造出更多实践成果和制度成果。省委</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省政府提出打造“绿水青山就是金山银山”实践创新区、统筹山水林田湖草系统治理试验区、长江流域和生态屏障建设先导区的战略定位，打造生态文明样板。其中创建“绿水青山就是金山银山”示范区是打造生态文明样板的重要支撑，示范区建设将在“十四五”期间围绕“护绿、增绿、管绿、用绿、活绿”五大任务，进一步深化“林长制”改革，积极推进林业治理体系和治理能力现代化，为我区提供强大的生态环境容量，提供更加优质的生态产品，扩大林业生态经济总量，促进农民就业增收，为我区林业发展和生态文明建设奠定坚实基础。</w:t>
      </w:r>
    </w:p>
    <w:p w14:paraId="7164D586">
      <w:pPr>
        <w:pStyle w:val="2"/>
        <w:bidi w:val="0"/>
      </w:pPr>
      <w:bookmarkStart w:id="24" w:name="_Toc3067"/>
      <w:bookmarkStart w:id="25" w:name="_Toc12706"/>
      <w:r>
        <w:rPr>
          <w:rFonts w:hint="eastAsia"/>
        </w:rPr>
        <w:t>二、发展新机遇</w:t>
      </w:r>
      <w:bookmarkEnd w:id="24"/>
      <w:bookmarkEnd w:id="25"/>
    </w:p>
    <w:p w14:paraId="278993F3">
      <w:pPr>
        <w:spacing w:line="600" w:lineRule="exact"/>
        <w:ind w:firstLine="643" w:firstLineChars="200"/>
        <w:outlineLvl w:val="2"/>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（一）生态文明制度体系不断完善</w:t>
      </w:r>
    </w:p>
    <w:p w14:paraId="799601C2">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我国历来高度重视生态文明建设，通过全面深化改革，</w:t>
      </w:r>
      <w:r>
        <w:rPr>
          <w:rFonts w:hint="eastAsia" w:ascii="仿宋_GB2312" w:hAnsi="仿宋_GB2312" w:eastAsia="仿宋_GB2312" w:cs="仿宋_GB2312"/>
          <w:b w:val="0"/>
          <w:bCs w:val="0"/>
          <w:sz w:val="32"/>
          <w:szCs w:val="32"/>
          <w:highlight w:val="none"/>
        </w:rPr>
        <w:t>加快推进生态文明顶层设计和制度体系建设，</w:t>
      </w:r>
      <w:r>
        <w:rPr>
          <w:rFonts w:hint="eastAsia" w:ascii="仿宋_GB2312" w:hAnsi="仿宋_GB2312" w:eastAsia="仿宋_GB2312" w:cs="仿宋_GB2312"/>
          <w:b w:val="0"/>
          <w:bCs w:val="0"/>
          <w:sz w:val="32"/>
          <w:szCs w:val="32"/>
        </w:rPr>
        <w:t>相继出台《关于加快推进生态文明建设的意见》、《生态文明体制改革总体方案》， 制定了 40 多项涉及生态文明建设的改革方案，从总体目标、基本理念、主要原则、重点任务、制度保障等方面对生态文明建设进行全面系统部署安排，不断坚持和完善生态文明制度体系，促进人与自然和谐共生。林业作为生态文明建设的主战场，国有林场改革、国家储备林基地建设、自然保护地整合优化等一系列重点工程不断开展，国家对林业建设的重视程度和支持力度不断增加。随着生态文明制度体系的不断完善，林业发展改革的潜力和红利将会不断释放。</w:t>
      </w:r>
    </w:p>
    <w:p w14:paraId="43CAEA7D">
      <w:pPr>
        <w:spacing w:line="600" w:lineRule="exact"/>
        <w:ind w:firstLine="643" w:firstLineChars="200"/>
        <w:outlineLvl w:val="2"/>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（二）新修订的《中华人民共和国森林法》正式实施</w:t>
      </w:r>
    </w:p>
    <w:p w14:paraId="19276888">
      <w:pPr>
        <w:spacing w:line="600" w:lineRule="exact"/>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b w:val="0"/>
          <w:bCs w:val="0"/>
          <w:sz w:val="32"/>
          <w:szCs w:val="32"/>
        </w:rPr>
        <w:t>新修订的《中华人民共和国森林法》于 2020年 7月 1日正式实施。修订后的《森林法》加强了权属保护，明晰了产权，有利于调动林业经营主体保护发展森林资源的积极性；强调了森林分类经营，突出公益林和商品林主导功能；突出了规划引领，将森林资源保护纳入国民经济和社会发展规划，森林覆盖率、森林蓄积量成为考核政府的重要约束性指标；强化了资源保护，提升了森林资源保护的系统性和“十四五”林业发展的背景与机遇整体性；深化了“放管服”改革；突出了执法权威，强化森林资源保护监督检查手段,加大破坏森林资源案件惩处力度。新修订的《中华人民共和国森林法》，以建设生态文明为目标，将“绿水青山就是金山银山”和绿色发展理念贯穿其中，将成为全行业、全社会遵守的行为准则，全面深化林业改革的制度保障，推动林业高质量发展的重大举措。</w:t>
      </w:r>
    </w:p>
    <w:p w14:paraId="063588B8">
      <w:pPr>
        <w:pStyle w:val="3"/>
        <w:spacing w:line="600" w:lineRule="exact"/>
        <w:rPr>
          <w:b w:val="0"/>
          <w:bCs w:val="0"/>
        </w:rPr>
      </w:pPr>
      <w:bookmarkStart w:id="26" w:name="_Toc18553"/>
      <w:bookmarkStart w:id="27" w:name="_Toc8534"/>
      <w:r>
        <w:rPr>
          <w:rFonts w:hint="eastAsia"/>
          <w:b w:val="0"/>
          <w:bCs w:val="0"/>
        </w:rPr>
        <w:t>第三章</w:t>
      </w:r>
      <w:r>
        <w:rPr>
          <w:rFonts w:hint="eastAsia"/>
          <w:b w:val="0"/>
          <w:bCs w:val="0"/>
          <w:lang w:val="en-US" w:eastAsia="zh-CN"/>
        </w:rPr>
        <w:t xml:space="preserve">  </w:t>
      </w:r>
      <w:r>
        <w:rPr>
          <w:rFonts w:hint="eastAsia"/>
          <w:b w:val="0"/>
          <w:bCs w:val="0"/>
        </w:rPr>
        <w:t>指导思想与建设目标</w:t>
      </w:r>
      <w:bookmarkEnd w:id="26"/>
      <w:bookmarkEnd w:id="27"/>
    </w:p>
    <w:p w14:paraId="0079ADD4">
      <w:pPr>
        <w:pStyle w:val="2"/>
        <w:bidi w:val="0"/>
      </w:pPr>
      <w:bookmarkStart w:id="28" w:name="_Toc26896"/>
      <w:bookmarkStart w:id="29" w:name="_Toc14784"/>
      <w:r>
        <w:rPr>
          <w:rFonts w:hint="eastAsia"/>
        </w:rPr>
        <w:t>一、指导思想</w:t>
      </w:r>
      <w:bookmarkEnd w:id="28"/>
      <w:bookmarkEnd w:id="29"/>
    </w:p>
    <w:p w14:paraId="2DCF85F8">
      <w:pPr>
        <w:spacing w:line="600" w:lineRule="exact"/>
        <w:ind w:left="9" w:firstLine="620" w:firstLineChars="194"/>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坚持以</w:t>
      </w:r>
      <w:r>
        <w:rPr>
          <w:rFonts w:hint="eastAsia" w:ascii="仿宋_GB2312" w:hAnsi="仿宋_GB2312" w:eastAsia="仿宋_GB2312" w:cs="仿宋_GB2312"/>
          <w:b w:val="0"/>
          <w:bCs w:val="0"/>
          <w:sz w:val="32"/>
          <w:szCs w:val="32"/>
          <w:lang w:eastAsia="zh-CN"/>
        </w:rPr>
        <w:t>习近平生态文明思想</w:t>
      </w:r>
      <w:r>
        <w:rPr>
          <w:rFonts w:hint="eastAsia" w:ascii="仿宋_GB2312" w:hAnsi="仿宋_GB2312" w:eastAsia="仿宋_GB2312" w:cs="仿宋_GB2312"/>
          <w:b w:val="0"/>
          <w:bCs w:val="0"/>
          <w:sz w:val="32"/>
          <w:szCs w:val="32"/>
        </w:rPr>
        <w:t>为指导，围绕“创新、协调、绿色、开放、共享”这五大发展理念。全力做好建设绿水青山、保护绿水青山、利用绿水青山三篇文章，以发展现代林业为主线，深入开展国土绿化行动，稳步推进低质低效林改造，着力推进林业产业发展，加强森林资源保护，积极构建自然保护地体系,全力做好建设绿水青山、保护绿水青山、利用绿水青山三篇文章，打造生态美、产业优、机制活、百姓富的生态文明新区。</w:t>
      </w:r>
    </w:p>
    <w:p w14:paraId="4F9EC833">
      <w:pPr>
        <w:pStyle w:val="2"/>
        <w:bidi w:val="0"/>
      </w:pPr>
      <w:bookmarkStart w:id="30" w:name="_Toc22272"/>
      <w:r>
        <w:rPr>
          <w:rFonts w:hint="eastAsia"/>
        </w:rPr>
        <w:t>二、基本原则</w:t>
      </w:r>
      <w:bookmarkEnd w:id="30"/>
    </w:p>
    <w:p w14:paraId="3E1DF639">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——坚持生态优先、绿色发展。牢固树立绿水青山就是金山银山的理念，加强生态保护与修复，维护生物多样性，强化资源节约集约高效利用，全面增强森林生态功能。</w:t>
      </w:r>
    </w:p>
    <w:p w14:paraId="2A09522C">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——坚持尊重自然、尊重科学。针对不同区域和林情特点，因地制宜，适地适树，分类保护，精准管理，不断提升林业生态、经济、社会三大效益。</w:t>
      </w:r>
    </w:p>
    <w:p w14:paraId="6E9A0F8F">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——坚持创新发展、改善民生。把改革创新作为基本动力，发挥市场配置资源的决定性作用，调动全社会发展林业的积极性；把改善民生作为根本目的，大力发展特色高效林业，促进绿色富民惠民。</w:t>
      </w:r>
    </w:p>
    <w:p w14:paraId="798A1404">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——坚持保护优先、自然恢复为主。加强开展</w:t>
      </w:r>
      <w:r>
        <w:rPr>
          <w:rFonts w:hint="eastAsia" w:ascii="仿宋_GB2312" w:hAnsi="仿宋_GB2312" w:eastAsia="仿宋_GB2312" w:cs="仿宋_GB2312"/>
          <w:b w:val="0"/>
          <w:bCs w:val="0"/>
          <w:sz w:val="32"/>
          <w:szCs w:val="32"/>
          <w:lang w:eastAsia="zh-CN"/>
        </w:rPr>
        <w:t>大规模国土绿化行动</w:t>
      </w:r>
      <w:r>
        <w:rPr>
          <w:rFonts w:hint="eastAsia" w:ascii="仿宋_GB2312" w:hAnsi="仿宋_GB2312" w:eastAsia="仿宋_GB2312" w:cs="仿宋_GB2312"/>
          <w:b w:val="0"/>
          <w:bCs w:val="0"/>
          <w:sz w:val="32"/>
          <w:szCs w:val="32"/>
        </w:rPr>
        <w:t>，完善天然林保护、生态公益林保护制度，打造灵秀曾都。</w:t>
      </w:r>
    </w:p>
    <w:p w14:paraId="6A6F673B">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——坚持政府主导与社会参与相结</w:t>
      </w:r>
      <w:r>
        <w:rPr>
          <w:rFonts w:hint="eastAsia" w:ascii="仿宋_GB2312" w:hAnsi="仿宋_GB2312" w:eastAsia="仿宋_GB2312" w:cs="仿宋_GB2312"/>
          <w:b w:val="0"/>
          <w:bCs w:val="0"/>
          <w:sz w:val="32"/>
          <w:szCs w:val="32"/>
          <w:lang w:eastAsia="zh-CN"/>
        </w:rPr>
        <w:t>合的</w:t>
      </w:r>
      <w:r>
        <w:rPr>
          <w:rFonts w:hint="eastAsia" w:ascii="仿宋_GB2312" w:hAnsi="仿宋_GB2312" w:eastAsia="仿宋_GB2312" w:cs="仿宋_GB2312"/>
          <w:b w:val="0"/>
          <w:bCs w:val="0"/>
          <w:sz w:val="32"/>
          <w:szCs w:val="32"/>
        </w:rPr>
        <w:t>原则。强化部门协作，确保一山一坡、一园一林都有专员专管、责任到人，全社会保护森林，重视生态的意识普遍提高。</w:t>
      </w:r>
    </w:p>
    <w:p w14:paraId="491E3133">
      <w:pPr>
        <w:pStyle w:val="2"/>
        <w:bidi w:val="0"/>
      </w:pPr>
      <w:bookmarkStart w:id="31" w:name="_Toc15349"/>
      <w:bookmarkStart w:id="32" w:name="_Toc5089"/>
      <w:r>
        <w:rPr>
          <w:rFonts w:hint="eastAsia"/>
        </w:rPr>
        <w:t>三、编制依据</w:t>
      </w:r>
      <w:bookmarkEnd w:id="31"/>
      <w:bookmarkEnd w:id="32"/>
    </w:p>
    <w:p w14:paraId="33401688">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中共中央、国务院</w:t>
      </w:r>
      <w:r>
        <w:rPr>
          <w:rFonts w:hint="eastAsia" w:ascii="仿宋_GB2312" w:hAnsi="仿宋_GB2312" w:eastAsia="仿宋_GB2312" w:cs="仿宋_GB2312"/>
          <w:b w:val="0"/>
          <w:bCs w:val="0"/>
          <w:sz w:val="32"/>
          <w:szCs w:val="32"/>
        </w:rPr>
        <w:t>关于加快推进生态文明建设的意见》</w:t>
      </w:r>
    </w:p>
    <w:p w14:paraId="4DE34CA2">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《生态文明体制改革总体方案》</w:t>
      </w:r>
    </w:p>
    <w:p w14:paraId="3FD3D7EB">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《中华人民共和国森林法》</w:t>
      </w:r>
    </w:p>
    <w:p w14:paraId="4E0A92A6">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eastAsia="zh-CN"/>
        </w:rPr>
        <w:t>国家林业和草原局</w:t>
      </w:r>
      <w:r>
        <w:rPr>
          <w:rFonts w:hint="eastAsia" w:ascii="仿宋_GB2312" w:hAnsi="仿宋_GB2312" w:eastAsia="仿宋_GB2312" w:cs="仿宋_GB2312"/>
          <w:b w:val="0"/>
          <w:bCs w:val="0"/>
          <w:sz w:val="32"/>
          <w:szCs w:val="32"/>
        </w:rPr>
        <w:t>营造林、中幼林抚育、低产林改造、生态公益林技术规程以及其他相关规程、规定</w:t>
      </w:r>
    </w:p>
    <w:p w14:paraId="16F16672">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湖北省林业生态建设纲要</w:t>
      </w:r>
    </w:p>
    <w:p w14:paraId="26ED522D">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《曾都区国民经济和社会发展“十四五”规划编制工作方案》</w:t>
      </w:r>
    </w:p>
    <w:p w14:paraId="3142BD6E">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曾都区经济社会发展总体目标</w:t>
      </w:r>
    </w:p>
    <w:p w14:paraId="48858ED9">
      <w:pPr>
        <w:pStyle w:val="2"/>
        <w:bidi w:val="0"/>
      </w:pPr>
      <w:bookmarkStart w:id="33" w:name="_Toc18023"/>
      <w:r>
        <w:rPr>
          <w:rFonts w:hint="eastAsia"/>
        </w:rPr>
        <w:t>四、发展目标</w:t>
      </w:r>
      <w:bookmarkEnd w:id="33"/>
    </w:p>
    <w:p w14:paraId="02032734">
      <w:pPr>
        <w:spacing w:line="600" w:lineRule="exact"/>
        <w:ind w:firstLine="643" w:firstLineChars="200"/>
        <w:outlineLvl w:val="2"/>
        <w:rPr>
          <w:rFonts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（一）总体目标</w:t>
      </w:r>
    </w:p>
    <w:p w14:paraId="789A6A1B">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以建设和发展曾都现代林业为目标，严守林地和森林、湿地、生物多样性等生态保护红线，促进全区森林资源总量、质量和均量“三量齐升”，强化生态保护修复，加快林业产业发展，推进生态文明建设，逐步建立起比较完备的生态体系和比较发达的林业产业体系，实现林业的可持续发展。</w:t>
      </w:r>
    </w:p>
    <w:p w14:paraId="27548BA5">
      <w:pPr>
        <w:spacing w:line="600" w:lineRule="exact"/>
        <w:ind w:firstLine="643" w:firstLineChars="200"/>
        <w:outlineLvl w:val="2"/>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（二）具体目标</w:t>
      </w:r>
    </w:p>
    <w:p w14:paraId="2F4B99F2">
      <w:pPr>
        <w:spacing w:line="600" w:lineRule="exact"/>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1、全区林地面积保持在8</w:t>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万亩以上（不含高新区，下同），森林覆盖率</w:t>
      </w:r>
      <w:r>
        <w:rPr>
          <w:rFonts w:hint="eastAsia" w:ascii="仿宋_GB2312" w:hAnsi="仿宋_GB2312" w:eastAsia="仿宋_GB2312" w:cs="仿宋_GB2312"/>
          <w:b w:val="0"/>
          <w:bCs w:val="0"/>
          <w:sz w:val="32"/>
          <w:szCs w:val="32"/>
          <w:lang w:eastAsia="zh-CN"/>
        </w:rPr>
        <w:t>达</w:t>
      </w:r>
      <w:r>
        <w:rPr>
          <w:rFonts w:hint="eastAsia" w:ascii="仿宋_GB2312" w:hAnsi="仿宋_GB2312" w:eastAsia="仿宋_GB2312" w:cs="仿宋_GB2312"/>
          <w:b w:val="0"/>
          <w:bCs w:val="0"/>
          <w:sz w:val="32"/>
          <w:szCs w:val="32"/>
        </w:rPr>
        <w:t>44</w:t>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%以上，森林蓄积量达到300万立方米以上</w:t>
      </w:r>
      <w:r>
        <w:rPr>
          <w:rFonts w:hint="eastAsia" w:ascii="仿宋_GB2312" w:hAnsi="仿宋_GB2312" w:eastAsia="仿宋_GB2312" w:cs="仿宋_GB2312"/>
          <w:b w:val="0"/>
          <w:bCs w:val="0"/>
          <w:sz w:val="32"/>
          <w:szCs w:val="32"/>
          <w:lang w:eastAsia="zh-CN"/>
        </w:rPr>
        <w:t>。</w:t>
      </w:r>
    </w:p>
    <w:p w14:paraId="1B74BD14">
      <w:pPr>
        <w:spacing w:line="600" w:lineRule="exact"/>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2、生态公益林管护面积稳定在10万亩以上；天然林停管护面积保持在38万亩以上</w:t>
      </w:r>
      <w:r>
        <w:rPr>
          <w:rFonts w:hint="eastAsia" w:ascii="仿宋_GB2312" w:hAnsi="仿宋_GB2312" w:eastAsia="仿宋_GB2312" w:cs="仿宋_GB2312"/>
          <w:b w:val="0"/>
          <w:bCs w:val="0"/>
          <w:sz w:val="32"/>
          <w:szCs w:val="32"/>
          <w:lang w:eastAsia="zh-CN"/>
        </w:rPr>
        <w:t>。</w:t>
      </w:r>
    </w:p>
    <w:p w14:paraId="40FB743B">
      <w:pPr>
        <w:spacing w:line="600" w:lineRule="exact"/>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3、林业总产值达45.9亿元，比“十三五”末期新增14.66亿元</w:t>
      </w:r>
      <w:r>
        <w:rPr>
          <w:rFonts w:hint="eastAsia" w:ascii="仿宋_GB2312" w:hAnsi="仿宋_GB2312" w:eastAsia="仿宋_GB2312" w:cs="仿宋_GB2312"/>
          <w:b w:val="0"/>
          <w:bCs w:val="0"/>
          <w:sz w:val="32"/>
          <w:szCs w:val="32"/>
          <w:lang w:eastAsia="zh-CN"/>
        </w:rPr>
        <w:t>。</w:t>
      </w:r>
    </w:p>
    <w:p w14:paraId="0651CD34">
      <w:pPr>
        <w:spacing w:line="600" w:lineRule="exact"/>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4</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主要造林树种基地供种率达到80%</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良种使用率达到85%</w:t>
      </w:r>
      <w:r>
        <w:rPr>
          <w:rFonts w:hint="eastAsia" w:ascii="仿宋_GB2312" w:hAnsi="仿宋_GB2312" w:eastAsia="仿宋_GB2312" w:cs="仿宋_GB2312"/>
          <w:b w:val="0"/>
          <w:bCs w:val="0"/>
          <w:sz w:val="32"/>
          <w:szCs w:val="32"/>
          <w:lang w:eastAsia="zh-CN"/>
        </w:rPr>
        <w:t>；种苗产地检疫率达</w:t>
      </w:r>
      <w:r>
        <w:rPr>
          <w:rFonts w:hint="eastAsia" w:ascii="仿宋_GB2312" w:hAnsi="仿宋_GB2312" w:eastAsia="仿宋_GB2312" w:cs="仿宋_GB2312"/>
          <w:b w:val="0"/>
          <w:bCs w:val="0"/>
          <w:sz w:val="32"/>
          <w:szCs w:val="32"/>
          <w:lang w:val="en-US" w:eastAsia="zh-CN"/>
        </w:rPr>
        <w:t>99%</w:t>
      </w:r>
      <w:r>
        <w:rPr>
          <w:rFonts w:hint="eastAsia" w:ascii="仿宋_GB2312" w:hAnsi="仿宋_GB2312" w:eastAsia="仿宋_GB2312" w:cs="仿宋_GB2312"/>
          <w:b w:val="0"/>
          <w:bCs w:val="0"/>
          <w:sz w:val="32"/>
          <w:szCs w:val="32"/>
          <w:lang w:eastAsia="zh-CN"/>
        </w:rPr>
        <w:t>。</w:t>
      </w:r>
    </w:p>
    <w:p w14:paraId="08570CC6">
      <w:pPr>
        <w:spacing w:line="600" w:lineRule="exact"/>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5、林地征占用审批率保持100%</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森林火灾受害率、</w:t>
      </w:r>
      <w:r>
        <w:rPr>
          <w:rFonts w:hint="eastAsia" w:ascii="仿宋_GB2312" w:hAnsi="仿宋_GB2312" w:eastAsia="仿宋_GB2312" w:cs="仿宋_GB2312"/>
          <w:b w:val="0"/>
          <w:bCs w:val="0"/>
          <w:sz w:val="32"/>
          <w:szCs w:val="32"/>
          <w:lang w:eastAsia="zh-CN"/>
        </w:rPr>
        <w:t>林业有害生物</w:t>
      </w:r>
      <w:r>
        <w:rPr>
          <w:rFonts w:hint="eastAsia" w:ascii="仿宋_GB2312" w:hAnsi="仿宋_GB2312" w:eastAsia="仿宋_GB2312" w:cs="仿宋_GB2312"/>
          <w:b w:val="0"/>
          <w:bCs w:val="0"/>
          <w:sz w:val="32"/>
          <w:szCs w:val="32"/>
        </w:rPr>
        <w:t>成灾率分别控制在0.9‰和4‰以下</w:t>
      </w:r>
      <w:r>
        <w:rPr>
          <w:rFonts w:hint="eastAsia" w:ascii="仿宋_GB2312" w:hAnsi="仿宋_GB2312" w:eastAsia="仿宋_GB2312" w:cs="仿宋_GB2312"/>
          <w:b w:val="0"/>
          <w:bCs w:val="0"/>
          <w:sz w:val="32"/>
          <w:szCs w:val="32"/>
          <w:lang w:eastAsia="zh-CN"/>
        </w:rPr>
        <w:t>；林业有害生物防治率、监测覆盖率达到</w:t>
      </w:r>
      <w:r>
        <w:rPr>
          <w:rFonts w:hint="eastAsia" w:ascii="仿宋_GB2312" w:hAnsi="仿宋_GB2312" w:eastAsia="仿宋_GB2312" w:cs="仿宋_GB2312"/>
          <w:b w:val="0"/>
          <w:bCs w:val="0"/>
          <w:sz w:val="32"/>
          <w:szCs w:val="32"/>
          <w:lang w:val="en-US" w:eastAsia="zh-CN"/>
        </w:rPr>
        <w:t>88%以上和100%；</w:t>
      </w:r>
      <w:r>
        <w:rPr>
          <w:rFonts w:hint="eastAsia" w:ascii="仿宋_GB2312" w:hAnsi="仿宋_GB2312" w:eastAsia="仿宋_GB2312" w:cs="仿宋_GB2312"/>
          <w:b w:val="0"/>
          <w:bCs w:val="0"/>
          <w:sz w:val="32"/>
          <w:szCs w:val="32"/>
        </w:rPr>
        <w:t>湿地保护率达到55%以上</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古树名木挂牌保护率达到100%</w:t>
      </w:r>
      <w:r>
        <w:rPr>
          <w:rFonts w:hint="eastAsia" w:ascii="仿宋_GB2312" w:hAnsi="仿宋_GB2312" w:eastAsia="仿宋_GB2312" w:cs="仿宋_GB2312"/>
          <w:b w:val="0"/>
          <w:bCs w:val="0"/>
          <w:sz w:val="32"/>
          <w:szCs w:val="32"/>
          <w:lang w:eastAsia="zh-CN"/>
        </w:rPr>
        <w:t>。</w:t>
      </w:r>
    </w:p>
    <w:p w14:paraId="4502E50A">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6、全区建成“绿水青山就是金山银山”示范基地8个；新增林业产业化省级重点龙头企业2家以上；实现林业三产比重达到40%以上，林产品质量稳步提升，无重特大食用林产品安全事故发生。</w:t>
      </w:r>
    </w:p>
    <w:p w14:paraId="7C837358">
      <w:pPr>
        <w:pStyle w:val="3"/>
        <w:spacing w:line="600" w:lineRule="exact"/>
        <w:rPr>
          <w:b w:val="0"/>
          <w:bCs w:val="0"/>
        </w:rPr>
      </w:pPr>
      <w:bookmarkStart w:id="34" w:name="_Toc27855"/>
      <w:r>
        <w:rPr>
          <w:rFonts w:hint="eastAsia"/>
          <w:b w:val="0"/>
          <w:bCs w:val="0"/>
        </w:rPr>
        <w:t>第</w:t>
      </w:r>
      <w:r>
        <w:rPr>
          <w:rFonts w:hint="eastAsia"/>
          <w:b w:val="0"/>
          <w:bCs w:val="0"/>
          <w:lang w:eastAsia="zh-CN"/>
        </w:rPr>
        <w:t>四</w:t>
      </w:r>
      <w:r>
        <w:rPr>
          <w:rFonts w:hint="eastAsia"/>
          <w:b w:val="0"/>
          <w:bCs w:val="0"/>
        </w:rPr>
        <w:t>章</w:t>
      </w:r>
      <w:r>
        <w:rPr>
          <w:rFonts w:hint="eastAsia"/>
          <w:b w:val="0"/>
          <w:bCs w:val="0"/>
          <w:lang w:val="en-US" w:eastAsia="zh-CN"/>
        </w:rPr>
        <w:t xml:space="preserve">  </w:t>
      </w:r>
      <w:r>
        <w:rPr>
          <w:rFonts w:hint="eastAsia"/>
          <w:b w:val="0"/>
          <w:bCs w:val="0"/>
        </w:rPr>
        <w:t>总体布局</w:t>
      </w:r>
      <w:bookmarkEnd w:id="34"/>
    </w:p>
    <w:p w14:paraId="5088EDBE">
      <w:pPr>
        <w:pStyle w:val="2"/>
        <w:bidi w:val="0"/>
      </w:pPr>
      <w:bookmarkStart w:id="35" w:name="_Toc4941"/>
      <w:r>
        <w:rPr>
          <w:rFonts w:hint="eastAsia"/>
        </w:rPr>
        <w:t>一、</w:t>
      </w:r>
      <w:r>
        <w:t>林业功能区划</w:t>
      </w:r>
      <w:bookmarkEnd w:id="35"/>
    </w:p>
    <w:p w14:paraId="51CB033B">
      <w:pPr>
        <w:pStyle w:val="6"/>
        <w:spacing w:before="1" w:line="600" w:lineRule="exact"/>
        <w:ind w:right="-91"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根据曾都区自然生态环境条件特征和资源利用的分异性，按照山水林田湖草生命共同体的要求，将全区划分为南部山地森林生态保育区，中部城市生态修复区，北部低山丘陵生态治理区三个林业功能区。</w:t>
      </w:r>
    </w:p>
    <w:p w14:paraId="793F3F75">
      <w:pPr>
        <w:pStyle w:val="6"/>
        <w:spacing w:before="1" w:line="600" w:lineRule="exact"/>
        <w:ind w:right="1722" w:firstLine="643" w:firstLineChars="200"/>
        <w:outlineLvl w:val="2"/>
        <w:rPr>
          <w:rFonts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（一）南部山地森林生态保育区</w:t>
      </w:r>
    </w:p>
    <w:p w14:paraId="62A074E2">
      <w:pPr>
        <w:pStyle w:val="6"/>
        <w:spacing w:before="1" w:line="600" w:lineRule="exact"/>
        <w:ind w:right="-88"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南部为中、低山区，为大洪山山脉余脉，范围包括何店镇花塆村、王店村、谢店村、龚店村等以及洛阳镇全域、府河镇全域。优越的山体条件蕴育了丰富的森林资源，植被郁郁葱葱，是我区主要林区。</w:t>
      </w:r>
    </w:p>
    <w:p w14:paraId="7D061AED">
      <w:pPr>
        <w:pStyle w:val="6"/>
        <w:spacing w:before="1" w:line="600" w:lineRule="exact"/>
        <w:ind w:right="-88"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发展方向：以天然林、公益林的保护为重点，提高森林水源涵养和水土保持的效能，丰富森林生态系统物种多样性，加强对森林生态系统内生物资源的森林经营，逐步提高森林质量，完善山区生态系统；加强森林公园、森林氧吧、森林康养基地建设，打造一批精品生态旅游线路；重视发展以油茶、食用菌、中药材、旅游产品为特色的生态经济，以生态保护促经济发展，实现本区生态系统结构的日趋稳定和服务功能的逐步提升。</w:t>
      </w:r>
    </w:p>
    <w:p w14:paraId="6D70B5EB">
      <w:pPr>
        <w:pStyle w:val="4"/>
        <w:bidi w:val="0"/>
      </w:pPr>
      <w:r>
        <w:rPr>
          <w:rFonts w:hint="eastAsia"/>
        </w:rPr>
        <w:t>（二）中部城市生态修复区</w:t>
      </w:r>
    </w:p>
    <w:p w14:paraId="1C12E430">
      <w:pPr>
        <w:pStyle w:val="6"/>
        <w:spacing w:before="1" w:line="600" w:lineRule="exact"/>
        <w:ind w:right="-88"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范围为随州市城市规划区，范围包括南郊街道办事处凉亭村、南烟墩村、响水桥村、涢水社区、城南新区全域。该区域是随州的政治经济文化中心，是随州人口密度最大的区域，人为活动频繁，土地开发利用强度大，对生态环境的影响强烈。</w:t>
      </w:r>
    </w:p>
    <w:p w14:paraId="6C2F6C25">
      <w:pPr>
        <w:pStyle w:val="6"/>
        <w:spacing w:before="1" w:line="600" w:lineRule="exact"/>
        <w:ind w:right="-88"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发展方向：以完善城区绿地为重点，保护随城山省级森林公园等公园绿地、防护绿地及附属绿地，扩大城区森林面积，提高城市森林质量，逐步形成“林城相融＂的良好格局。综合治理城区河道污染，保护㵐水、涢水流域水生态安全，维护和改善河流湿地水体的水环境质量，扩大湿地生态容量。</w:t>
      </w:r>
    </w:p>
    <w:p w14:paraId="7A64E75F">
      <w:pPr>
        <w:pStyle w:val="4"/>
        <w:bidi w:val="0"/>
        <w:rPr>
          <w:rFonts w:hint="eastAsia"/>
          <w:lang w:eastAsia="zh-CN"/>
        </w:rPr>
      </w:pPr>
      <w:r>
        <w:rPr>
          <w:rFonts w:hint="eastAsia"/>
        </w:rPr>
        <w:t>（三）</w:t>
      </w:r>
      <w:r>
        <w:rPr>
          <w:rFonts w:hint="eastAsia"/>
          <w:lang w:eastAsia="zh-CN"/>
        </w:rPr>
        <w:t>北部生态治理区</w:t>
      </w:r>
    </w:p>
    <w:p w14:paraId="68B859B1">
      <w:pPr>
        <w:pStyle w:val="6"/>
        <w:spacing w:before="1" w:line="600" w:lineRule="exact"/>
        <w:ind w:right="-88" w:firstLine="640" w:firstLineChars="200"/>
        <w:outlineLvl w:val="9"/>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北部为低山丘陵区，范围包括南郊办事处邓家老湾村、平原岗村、红石岗村、北郊街道办事处、万店镇全域。该区域部分与广水接壤，林地土壤贫瘠，栎木资源丰富，森林生态系统结构相对单一，林分质量差，生态系统服务功能弱。</w:t>
      </w:r>
    </w:p>
    <w:p w14:paraId="53568A85">
      <w:pPr>
        <w:pStyle w:val="6"/>
        <w:spacing w:before="1" w:line="600" w:lineRule="exact"/>
        <w:ind w:right="-88"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发展方向：以控制水土流失为重点，加强生物多样性保护和生态廊道建设，建设以栎木为原材料的食用菌原料基地、以油茶为主的木本油料基地、以林果业为主的经济林基地和花卉苗木基地，发展林下经济产业，以生态经济模式逐步改善生态系统服务功能。</w:t>
      </w:r>
    </w:p>
    <w:p w14:paraId="3E884086">
      <w:pPr>
        <w:pStyle w:val="2"/>
        <w:bidi w:val="0"/>
      </w:pPr>
      <w:bookmarkStart w:id="36" w:name="_Toc31198"/>
      <w:bookmarkStart w:id="37" w:name="_Toc20961"/>
      <w:r>
        <w:rPr>
          <w:rFonts w:hint="eastAsia"/>
        </w:rPr>
        <w:t>二、总体布局</w:t>
      </w:r>
      <w:bookmarkEnd w:id="36"/>
      <w:bookmarkEnd w:id="37"/>
    </w:p>
    <w:p w14:paraId="6E04B136">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利用曾都“四水串城、三山环绕、两田相拥”的自然生态优势，持续开展国土绿化行动，加快推进植树造林“万亩工程”，府河流域绿化带、㵐水生态廊道、城南新区生态屏障、城镇增林补绿为主体的重大生态工程建设，建设有曾都特色的综合性生态安全系统，构筑“一轴、一环、一片、多廊”互相衔接的生态安全网，打造随州城市生态“绿肺”，筑牢鄂北永久性生态安全屏障。</w:t>
      </w:r>
    </w:p>
    <w:p w14:paraId="12F29DA6">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生态安全网络：“一轴、一环、一片、多廊” </w:t>
      </w:r>
    </w:p>
    <w:p w14:paraId="0ECC70B2">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一轴：是指府河流域两岸树木、灌木丛、水生植物于一体的绿色生态轴线。</w:t>
      </w:r>
    </w:p>
    <w:p w14:paraId="51C1E446">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一环：是指连接新 316 国道、炎帝大道、南外环为一体的城市绿环。</w:t>
      </w:r>
    </w:p>
    <w:p w14:paraId="186E79BB">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一片：是指城南新区随城山森林公园示范片。 </w:t>
      </w:r>
    </w:p>
    <w:p w14:paraId="065A0718">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多廊：是指沿城市河流（涢水、㵐水、漂水等）的滨河绿带以及沿主要道路的防护绿带交织而成的绿色生态廊道。 </w:t>
      </w:r>
    </w:p>
    <w:p w14:paraId="583DD9D4">
      <w:pPr>
        <w:pStyle w:val="3"/>
        <w:spacing w:line="600" w:lineRule="exact"/>
        <w:rPr>
          <w:b w:val="0"/>
          <w:bCs w:val="0"/>
        </w:rPr>
      </w:pPr>
      <w:bookmarkStart w:id="38" w:name="_Toc12296"/>
      <w:bookmarkStart w:id="39" w:name="_Toc17004"/>
      <w:r>
        <w:rPr>
          <w:rFonts w:hint="eastAsia"/>
          <w:b w:val="0"/>
          <w:bCs w:val="0"/>
        </w:rPr>
        <w:t>第五章</w:t>
      </w:r>
      <w:r>
        <w:rPr>
          <w:rFonts w:hint="eastAsia"/>
          <w:b w:val="0"/>
          <w:bCs w:val="0"/>
          <w:lang w:val="en-US" w:eastAsia="zh-CN"/>
        </w:rPr>
        <w:t xml:space="preserve">  </w:t>
      </w:r>
      <w:r>
        <w:rPr>
          <w:rFonts w:hint="eastAsia"/>
          <w:b w:val="0"/>
          <w:bCs w:val="0"/>
        </w:rPr>
        <w:t>主要任务</w:t>
      </w:r>
      <w:bookmarkEnd w:id="38"/>
      <w:bookmarkEnd w:id="39"/>
    </w:p>
    <w:p w14:paraId="1819D10E">
      <w:pPr>
        <w:pStyle w:val="2"/>
        <w:bidi w:val="0"/>
      </w:pPr>
      <w:bookmarkStart w:id="40" w:name="_Toc25767"/>
      <w:r>
        <w:rPr>
          <w:rFonts w:hint="eastAsia"/>
        </w:rPr>
        <w:t>一、持续开展扩绿提质，实现“生态美”</w:t>
      </w:r>
      <w:bookmarkEnd w:id="40"/>
    </w:p>
    <w:p w14:paraId="27786D55">
      <w:pPr>
        <w:pStyle w:val="4"/>
        <w:bidi w:val="0"/>
      </w:pPr>
      <w:r>
        <w:rPr>
          <w:rFonts w:hint="eastAsia"/>
        </w:rPr>
        <w:t>（一）持续开展国土绿化</w:t>
      </w:r>
    </w:p>
    <w:p w14:paraId="20A0EF5B">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完成人工造林1万亩。一</w:t>
      </w:r>
      <w:r>
        <w:rPr>
          <w:rFonts w:hint="eastAsia" w:ascii="仿宋_GB2312" w:hAnsi="仿宋_GB2312" w:eastAsia="仿宋_GB2312" w:cs="仿宋_GB2312"/>
          <w:b w:val="0"/>
          <w:bCs w:val="0"/>
          <w:sz w:val="32"/>
          <w:szCs w:val="32"/>
          <w:shd w:val="clear"/>
        </w:rPr>
        <w:t>是</w:t>
      </w:r>
      <w:r>
        <w:rPr>
          <w:rFonts w:hint="eastAsia" w:ascii="仿宋_GB2312" w:hAnsi="仿宋_GB2312" w:eastAsia="仿宋_GB2312" w:cs="仿宋_GB2312"/>
          <w:b w:val="0"/>
          <w:bCs w:val="0"/>
          <w:sz w:val="32"/>
          <w:szCs w:val="32"/>
          <w:shd w:val="clear" w:color="FFFFFF"/>
        </w:rPr>
        <w:t>建设林</w:t>
      </w:r>
      <w:r>
        <w:rPr>
          <w:rFonts w:hint="eastAsia" w:ascii="仿宋_GB2312" w:hAnsi="仿宋_GB2312" w:eastAsia="仿宋_GB2312" w:cs="仿宋_GB2312"/>
          <w:b w:val="0"/>
          <w:bCs w:val="0"/>
          <w:sz w:val="32"/>
          <w:szCs w:val="32"/>
          <w:shd w:val="clear"/>
        </w:rPr>
        <w:t>业</w:t>
      </w:r>
      <w:r>
        <w:rPr>
          <w:rFonts w:hint="eastAsia" w:ascii="仿宋_GB2312" w:hAnsi="仿宋_GB2312" w:eastAsia="仿宋_GB2312" w:cs="仿宋_GB2312"/>
          <w:b w:val="0"/>
          <w:bCs w:val="0"/>
          <w:sz w:val="32"/>
          <w:szCs w:val="32"/>
        </w:rPr>
        <w:t>生态骨架，沿河流、水库、渠道以及316国道、炎帝大道、城外环沿线扩大林业生态建设范围，倡导营造混交林，加大乡土树种、珍贵树种培育力度和政策倾斜，增加林分内部结构稳定性，增强林分生态功能，提高生态效益。二是以造林项目为依托,大力营造针阔混交林、高效经济林和木本油料林。对立地条件差、造林难度大的地方，提供栽植湿地松，点播橡子混交，对立地条件较好的地方，发展林特、林果和木本油料。</w:t>
      </w:r>
    </w:p>
    <w:p w14:paraId="2D0E2011">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打造“森林乡村”25个。使道路、河流、库塘、荒山得到绿色全覆盖，城乡绿化美化、水土保持、生态环境建设整体水平大幅提高，形成沿路沿水风景林、房前屋后花果林、村中空地休憩林、村庄周围护村林的全方位立体绿化格局，全面实现生态宜居、山清水秀的灵秀曾都。</w:t>
      </w:r>
    </w:p>
    <w:p w14:paraId="634834C5">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完成森林抚育5万亩，坚持生态优先，经济、生态、社会三大效益相结合的原则，对因受人为和自然因素的影响，经济效益、生态效益明显低于同类立地条件平均水平的林分进行优化改造和高效利用。</w:t>
      </w:r>
    </w:p>
    <w:p w14:paraId="2B12ED4E">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修复退化林2万亩。对由于自然、人为等因素形成的退化林地综合运用抚育、补植补造、林下更新、调整、封育等措施，清除枯死木、病害木和无培育价值的林木，调整树种结构、层次结构和林分密度，增强林分稳定性，提高林分防护功能。</w:t>
      </w:r>
    </w:p>
    <w:p w14:paraId="3B4B245D">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完成通道绿化563公里。加大铁路、高速公路、国、省道以及乡村主要公路绿化力度，重点打造以编钟大道、随京公路、洛府公路、淅孛公路、何花公路、何谢公路为主线的生态景观带。配合做好国家森林城市复检工作，保持“国家森林城市”荣誉称号。</w:t>
      </w:r>
    </w:p>
    <w:p w14:paraId="0272A88B">
      <w:pPr>
        <w:pStyle w:val="4"/>
        <w:bidi w:val="0"/>
        <w:rPr>
          <w:b/>
          <w:bCs/>
        </w:rPr>
      </w:pPr>
      <w:r>
        <w:rPr>
          <w:rFonts w:hint="eastAsia"/>
          <w:b/>
          <w:bCs/>
        </w:rPr>
        <w:t>（二）</w:t>
      </w:r>
      <w:r>
        <w:rPr>
          <w:rFonts w:hint="eastAsia" w:hAnsi="仿宋_GB2312"/>
          <w:b/>
          <w:bCs/>
          <w:color w:val="000000" w:themeColor="text1"/>
          <w14:textFill>
            <w14:solidFill>
              <w14:schemeClr w14:val="tx1"/>
            </w14:solidFill>
          </w14:textFill>
        </w:rPr>
        <w:t>持续推进森林生态保护工程</w:t>
      </w:r>
    </w:p>
    <w:p w14:paraId="16D6189B">
      <w:pPr>
        <w:spacing w:line="600" w:lineRule="exact"/>
        <w:ind w:firstLine="640" w:firstLineChars="200"/>
        <w:rPr>
          <w:rFonts w:hint="eastAsia" w:ascii="仿宋_GB2312" w:hAnsi="仿宋_GB2312" w:eastAsia="仿宋_GB2312" w:cs="仿宋_GB2312"/>
          <w:b w:val="0"/>
          <w:bCs w:val="0"/>
          <w:sz w:val="32"/>
          <w:szCs w:val="32"/>
        </w:rPr>
      </w:pPr>
      <w:r>
        <w:rPr>
          <w:rFonts w:hint="eastAsia" w:eastAsia="仿宋_GB2312"/>
          <w:b w:val="0"/>
          <w:bCs w:val="0"/>
          <w:sz w:val="32"/>
          <w:szCs w:val="32"/>
        </w:rPr>
        <w:t>1、</w:t>
      </w:r>
      <w:r>
        <w:rPr>
          <w:rFonts w:hint="eastAsia" w:ascii="仿宋_GB2312" w:hAnsi="仿宋_GB2312" w:eastAsia="仿宋_GB2312" w:cs="仿宋_GB2312"/>
          <w:b w:val="0"/>
          <w:bCs w:val="0"/>
          <w:sz w:val="32"/>
          <w:szCs w:val="32"/>
        </w:rPr>
        <w:t>强化林地保护</w:t>
      </w:r>
    </w:p>
    <w:p w14:paraId="709080AE">
      <w:pPr>
        <w:spacing w:line="600" w:lineRule="exact"/>
        <w:ind w:firstLine="640" w:firstLineChars="200"/>
        <w:rPr>
          <w:rFonts w:ascii="仿宋_GB2312" w:hAnsi="仿宋_GB2312" w:cs="仿宋_GB2312"/>
          <w:b w:val="0"/>
          <w:bCs w:val="0"/>
        </w:rPr>
      </w:pPr>
      <w:r>
        <w:rPr>
          <w:rFonts w:hint="eastAsia" w:ascii="仿宋_GB2312" w:hAnsi="仿宋_GB2312" w:eastAsia="仿宋_GB2312" w:cs="仿宋_GB2312"/>
          <w:b w:val="0"/>
          <w:bCs w:val="0"/>
          <w:sz w:val="32"/>
          <w:szCs w:val="32"/>
        </w:rPr>
        <w:t>一是区划重点保护范围，坚守林地红线，</w:t>
      </w:r>
      <w:r>
        <w:rPr>
          <w:rFonts w:hint="eastAsia" w:ascii="仿宋_GB2312" w:hAnsi="仿宋_GB2312" w:eastAsia="仿宋_GB2312" w:cs="仿宋_GB2312"/>
          <w:b w:val="0"/>
          <w:bCs w:val="0"/>
          <w:color w:val="000000" w:themeColor="text1"/>
          <w:sz w:val="32"/>
          <w:szCs w:val="32"/>
          <w:lang w:val="zh-CN"/>
          <w14:textFill>
            <w14:solidFill>
              <w14:schemeClr w14:val="tx1"/>
            </w14:solidFill>
          </w14:textFill>
        </w:rPr>
        <w:t>坚持保护优先</w:t>
      </w:r>
      <w:r>
        <w:rPr>
          <w:rFonts w:hint="eastAsia" w:ascii="仿宋_GB2312" w:hAnsi="仿宋_GB2312" w:eastAsia="仿宋_GB2312" w:cs="仿宋_GB2312"/>
          <w:b w:val="0"/>
          <w:bCs w:val="0"/>
          <w:sz w:val="32"/>
          <w:szCs w:val="32"/>
        </w:rPr>
        <w:t>，严格限制开发占用林地。二是严格执行林地征占用审批制度和有偿使用制度，实施林地用途管制，严格执行征、占用林地的植被恢复制度。主动靠前服务</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全程服务，确保林地征占用审批率100%。三是加大对非法使用林地的查处力度，依法严厉打击非法使用林地行为；四是积极配合不动产登记部门做好林地林权登记工作，优化公共资源交易平台，促进林木、林地依法有偿、有序流转。</w:t>
      </w:r>
    </w:p>
    <w:p w14:paraId="05F55636">
      <w:pPr>
        <w:pStyle w:val="7"/>
        <w:spacing w:line="600" w:lineRule="exact"/>
        <w:ind w:firstLine="573"/>
        <w:rPr>
          <w:b w:val="0"/>
          <w:bCs w:val="0"/>
        </w:rPr>
      </w:pPr>
      <w:r>
        <w:rPr>
          <w:rFonts w:hint="eastAsia"/>
          <w:b w:val="0"/>
          <w:bCs w:val="0"/>
        </w:rPr>
        <w:t>2、</w:t>
      </w:r>
      <w:r>
        <w:rPr>
          <w:b w:val="0"/>
          <w:bCs w:val="0"/>
        </w:rPr>
        <w:t>公益林和天然林管护</w:t>
      </w:r>
    </w:p>
    <w:p w14:paraId="13E83C26">
      <w:pPr>
        <w:pStyle w:val="7"/>
        <w:spacing w:line="600" w:lineRule="exact"/>
        <w:ind w:firstLine="573"/>
        <w:rPr>
          <w:rFonts w:hint="eastAsia" w:ascii="仿宋_GB2312" w:hAnsi="仿宋_GB2312" w:eastAsia="仿宋_GB2312" w:cs="仿宋_GB2312"/>
          <w:b w:val="0"/>
          <w:bCs w:val="0"/>
          <w:sz w:val="32"/>
          <w:szCs w:val="32"/>
        </w:rPr>
      </w:pPr>
      <w:r>
        <w:rPr>
          <w:rFonts w:hint="eastAsia" w:hAnsi="仿宋_GB2312"/>
          <w:b w:val="0"/>
          <w:bCs w:val="0"/>
        </w:rPr>
        <w:t>强化管护措施，完善管护制度，国有公益林、天然林由国有林场组织管护；集体和个人所有的公益林、天然林聘请专职或兼职护林员管护，切实将管护措施落实到山头地块，管护责任落实到人，做到山有人管、林有人护、责有人担，禁止天然林商业性采伐。完善管护组织体系，实现公益林、天然林管护全覆盖。确保森林生态质量持续提高。一是严格保护重点生态公益林，加强公益林建设，加大公益林的抚育管理和低效公益林的改造力度。全面提升生态公益林的质量，不断增强生态公益林的功能和效益，提高森林生态效益。建立生态公益林监测体系，及时准确</w:t>
      </w:r>
      <w:r>
        <w:rPr>
          <w:rFonts w:hint="eastAsia" w:hAnsi="仿宋_GB2312"/>
          <w:b w:val="0"/>
          <w:bCs w:val="0"/>
          <w:lang w:eastAsia="zh-CN"/>
        </w:rPr>
        <w:t>地</w:t>
      </w:r>
      <w:r>
        <w:rPr>
          <w:rFonts w:hint="eastAsia" w:hAnsi="仿宋_GB2312"/>
          <w:b w:val="0"/>
          <w:bCs w:val="0"/>
        </w:rPr>
        <w:t>了解生态公益林变化情况，同时结合“低产林改造、中幼林抚育”工程，大力推进森林经营，提高林地产出率，实现林地价值最大化，确保全区公益林保护面积稳定10万亩以上。二是贯彻落实中办、国办印发《天然林保护修复制度方案》精神，完善天然林管护制度、建立天然林用途管制制度、健全天然林修复制度、落实天然林保护修复监管制度，全面落实天然林管护举措；加强天然林退化修复工作，确保到2025年，全区天然林面积稳定在38万亩以上。</w:t>
      </w:r>
      <w:r>
        <w:rPr>
          <w:rFonts w:hint="eastAsia" w:ascii="仿宋_GB2312" w:hAnsi="仿宋_GB2312" w:eastAsia="仿宋_GB2312" w:cs="仿宋_GB2312"/>
          <w:b w:val="0"/>
          <w:bCs w:val="0"/>
          <w:sz w:val="32"/>
          <w:szCs w:val="32"/>
        </w:rPr>
        <w:t>三是加大资金投入。加大对公益林、天然林管护的资金投入，逐步提高补偿标准，建立森林生态效益补偿标准动态调整机制，逐步缩小公益林、天然林与商品林经营收益差距，提升广大林农保护公益林和天然林的积极性。</w:t>
      </w:r>
    </w:p>
    <w:p w14:paraId="10699355">
      <w:pPr>
        <w:pStyle w:val="4"/>
        <w:bidi w:val="0"/>
      </w:pPr>
      <w:r>
        <w:rPr>
          <w:rFonts w:hint="eastAsia"/>
        </w:rPr>
        <w:t>（三）提升森林资源支撑能力保障</w:t>
      </w:r>
    </w:p>
    <w:p w14:paraId="15EA776F">
      <w:pPr>
        <w:pStyle w:val="13"/>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b w:val="0"/>
          <w:bCs w:val="0"/>
        </w:rPr>
      </w:pPr>
      <w:r>
        <w:rPr>
          <w:rFonts w:hint="eastAsia"/>
          <w:b w:val="0"/>
          <w:bCs w:val="0"/>
          <w:lang w:val="en-US" w:eastAsia="zh-CN"/>
        </w:rPr>
        <w:t>1、</w:t>
      </w:r>
      <w:r>
        <w:rPr>
          <w:rFonts w:hint="eastAsia"/>
          <w:b w:val="0"/>
          <w:bCs w:val="0"/>
        </w:rPr>
        <w:t>森林防火</w:t>
      </w:r>
    </w:p>
    <w:p w14:paraId="54B398DA">
      <w:pPr>
        <w:pStyle w:val="13"/>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b w:val="0"/>
          <w:bCs w:val="0"/>
        </w:rPr>
      </w:pPr>
      <w:r>
        <w:rPr>
          <w:rFonts w:hint="eastAsia"/>
          <w:b w:val="0"/>
          <w:bCs w:val="0"/>
        </w:rPr>
        <w:t>加强森林防火能力建设，重点区域林火监测覆盖率达到</w:t>
      </w:r>
      <w:r>
        <w:rPr>
          <w:b w:val="0"/>
          <w:bCs w:val="0"/>
        </w:rPr>
        <w:t>90% 以上。完善森林火灾责任体系，</w:t>
      </w:r>
      <w:r>
        <w:rPr>
          <w:rFonts w:hint="eastAsia"/>
          <w:b w:val="0"/>
          <w:bCs w:val="0"/>
        </w:rPr>
        <w:t>年</w:t>
      </w:r>
      <w:r>
        <w:rPr>
          <w:b w:val="0"/>
          <w:bCs w:val="0"/>
        </w:rPr>
        <w:t>森林火灾受害率控制在0.</w:t>
      </w:r>
      <w:r>
        <w:rPr>
          <w:rFonts w:hint="eastAsia"/>
          <w:b w:val="0"/>
          <w:bCs w:val="0"/>
        </w:rPr>
        <w:t>9‰以内。</w:t>
      </w:r>
    </w:p>
    <w:p w14:paraId="65CEEB0E">
      <w:pPr>
        <w:pStyle w:val="13"/>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b w:val="0"/>
          <w:bCs w:val="0"/>
        </w:rPr>
      </w:pPr>
      <w:r>
        <w:rPr>
          <w:rFonts w:hint="eastAsia"/>
          <w:b w:val="0"/>
          <w:bCs w:val="0"/>
          <w:lang w:eastAsia="zh-CN"/>
        </w:rPr>
        <w:t>（</w:t>
      </w:r>
      <w:r>
        <w:rPr>
          <w:b w:val="0"/>
          <w:bCs w:val="0"/>
        </w:rPr>
        <w:t>1</w:t>
      </w:r>
      <w:r>
        <w:rPr>
          <w:rFonts w:hint="eastAsia"/>
          <w:b w:val="0"/>
          <w:bCs w:val="0"/>
          <w:lang w:eastAsia="zh-CN"/>
        </w:rPr>
        <w:t>）</w:t>
      </w:r>
      <w:r>
        <w:rPr>
          <w:b w:val="0"/>
          <w:bCs w:val="0"/>
        </w:rPr>
        <w:t xml:space="preserve"> 提高林火监测覆盖率</w:t>
      </w:r>
    </w:p>
    <w:p w14:paraId="728DAECF">
      <w:pPr>
        <w:pStyle w:val="13"/>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b w:val="0"/>
          <w:bCs w:val="0"/>
        </w:rPr>
      </w:pPr>
      <w:r>
        <w:rPr>
          <w:rFonts w:hint="eastAsia"/>
          <w:b w:val="0"/>
          <w:bCs w:val="0"/>
        </w:rPr>
        <w:t>加强森林防火监测系统建设，在森林资源分布的重点地区、重点部位，加强视频监控系统建设；适当新建和维修</w:t>
      </w:r>
      <w:r>
        <w:rPr>
          <w:rFonts w:hint="eastAsia"/>
          <w:b w:val="0"/>
          <w:bCs w:val="0"/>
          <w:lang w:eastAsia="zh-CN"/>
        </w:rPr>
        <w:t>瞭望</w:t>
      </w:r>
      <w:r>
        <w:rPr>
          <w:rFonts w:hint="eastAsia"/>
          <w:b w:val="0"/>
          <w:bCs w:val="0"/>
        </w:rPr>
        <w:t>塔，发挥其在大面积林区火情监测中的作用。通过综合监测手段建成集高山瞭望、视频监控、无</w:t>
      </w:r>
      <w:r>
        <w:rPr>
          <w:rFonts w:hint="eastAsia"/>
          <w:b w:val="0"/>
          <w:bCs w:val="0"/>
          <w:lang w:eastAsia="zh-CN"/>
        </w:rPr>
        <w:t>人</w:t>
      </w:r>
      <w:r>
        <w:rPr>
          <w:rFonts w:hint="eastAsia"/>
          <w:b w:val="0"/>
          <w:bCs w:val="0"/>
        </w:rPr>
        <w:t>机巡航和地面巡护的立体林火预警监测体系，提升森林火险预警和火情实时监测能力。</w:t>
      </w:r>
    </w:p>
    <w:p w14:paraId="6728DCF2">
      <w:pPr>
        <w:pStyle w:val="13"/>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b w:val="0"/>
          <w:bCs w:val="0"/>
        </w:rPr>
      </w:pPr>
      <w:r>
        <w:rPr>
          <w:rFonts w:hint="eastAsia"/>
          <w:b w:val="0"/>
          <w:bCs w:val="0"/>
          <w:lang w:eastAsia="zh-CN"/>
        </w:rPr>
        <w:t>（</w:t>
      </w:r>
      <w:r>
        <w:rPr>
          <w:b w:val="0"/>
          <w:bCs w:val="0"/>
        </w:rPr>
        <w:t>2</w:t>
      </w:r>
      <w:r>
        <w:rPr>
          <w:rFonts w:hint="eastAsia"/>
          <w:b w:val="0"/>
          <w:bCs w:val="0"/>
          <w:lang w:eastAsia="zh-CN"/>
        </w:rPr>
        <w:t>）</w:t>
      </w:r>
      <w:r>
        <w:rPr>
          <w:b w:val="0"/>
          <w:bCs w:val="0"/>
        </w:rPr>
        <w:t>完善森林防火基础设施建设</w:t>
      </w:r>
    </w:p>
    <w:p w14:paraId="4FD44C7A">
      <w:pPr>
        <w:pStyle w:val="13"/>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b w:val="0"/>
          <w:bCs w:val="0"/>
        </w:rPr>
      </w:pPr>
      <w:r>
        <w:rPr>
          <w:rFonts w:hint="eastAsia"/>
          <w:b w:val="0"/>
          <w:bCs w:val="0"/>
        </w:rPr>
        <w:t>加强曾都区银杏自然保护区及国有谢家寨林场等重点生态功能区森林防火基础设施建设，通过提升通信装备水平，确保森林火情的传递快捷、准确、及时。规划期内，因地制宜修建和维护防火巡护道路</w:t>
      </w:r>
      <w:r>
        <w:rPr>
          <w:b w:val="0"/>
          <w:bCs w:val="0"/>
        </w:rPr>
        <w:t>, 修建消防水池；购置风</w:t>
      </w:r>
      <w:r>
        <w:rPr>
          <w:rFonts w:hint="eastAsia"/>
          <w:b w:val="0"/>
          <w:bCs w:val="0"/>
        </w:rPr>
        <w:t>力灭火机、油锯、水枪等中小型扑火机具装备和扑火服装，满足森林防火应急工作需求。</w:t>
      </w:r>
    </w:p>
    <w:p w14:paraId="27A347FE">
      <w:pPr>
        <w:pStyle w:val="13"/>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b w:val="0"/>
          <w:bCs w:val="0"/>
        </w:rPr>
      </w:pPr>
      <w:r>
        <w:rPr>
          <w:rFonts w:hint="eastAsia"/>
          <w:b w:val="0"/>
          <w:bCs w:val="0"/>
          <w:lang w:eastAsia="zh-CN"/>
        </w:rPr>
        <w:t>（</w:t>
      </w:r>
      <w:r>
        <w:rPr>
          <w:b w:val="0"/>
          <w:bCs w:val="0"/>
        </w:rPr>
        <w:t>3</w:t>
      </w:r>
      <w:r>
        <w:rPr>
          <w:rFonts w:hint="eastAsia"/>
          <w:b w:val="0"/>
          <w:bCs w:val="0"/>
          <w:lang w:eastAsia="zh-CN"/>
        </w:rPr>
        <w:t>）</w:t>
      </w:r>
      <w:r>
        <w:rPr>
          <w:b w:val="0"/>
          <w:bCs w:val="0"/>
        </w:rPr>
        <w:t>加强森林防火宣传教育</w:t>
      </w:r>
      <w:r>
        <w:rPr>
          <w:rFonts w:hint="eastAsia"/>
          <w:b w:val="0"/>
          <w:bCs w:val="0"/>
        </w:rPr>
        <w:t>。开展“进社区、进学校、进农村、进家庭、进企业”的森林防火宣传教育活动。</w:t>
      </w:r>
      <w:r>
        <w:rPr>
          <w:b w:val="0"/>
          <w:bCs w:val="0"/>
        </w:rPr>
        <w:t>增加林区</w:t>
      </w:r>
      <w:r>
        <w:rPr>
          <w:rFonts w:hint="eastAsia"/>
          <w:b w:val="0"/>
          <w:bCs w:val="0"/>
        </w:rPr>
        <w:t>的防火宣传牌的数量，每年防火期内，组织开展“宣传月”、“宣传周”活动，利用多种形式开展森林防火科普知识、火灾扑救和安全避险知识教育，结合普法教育，组织开展森林防火法律法规的培训，营造浓厚的社会氛围。</w:t>
      </w:r>
    </w:p>
    <w:p w14:paraId="4D8DEE1F">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古树名木保护</w:t>
      </w:r>
    </w:p>
    <w:p w14:paraId="3524F04A">
      <w:pPr>
        <w:spacing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一是持续加强古树保护力度，严厉打击各类破坏古树保护的违法犯罪行为，</w:t>
      </w:r>
      <w:r>
        <w:rPr>
          <w:rFonts w:hint="eastAsia" w:ascii="仿宋_GB2312" w:hAnsi="仿宋_GB2312" w:eastAsia="仿宋_GB2312" w:cs="仿宋_GB2312"/>
          <w:b w:val="0"/>
          <w:bCs w:val="0"/>
          <w:sz w:val="32"/>
          <w:szCs w:val="32"/>
          <w:shd w:val="clear" w:color="FFFFFF" w:fill="auto"/>
        </w:rPr>
        <w:t>严格执行《湖北省古树名木保护管理办法》，</w:t>
      </w:r>
      <w:r>
        <w:rPr>
          <w:rFonts w:hint="eastAsia" w:ascii="仿宋_GB2312" w:hAnsi="仿宋_GB2312" w:eastAsia="仿宋_GB2312" w:cs="仿宋_GB2312"/>
          <w:b w:val="0"/>
          <w:bCs w:val="0"/>
          <w:sz w:val="32"/>
          <w:szCs w:val="32"/>
        </w:rPr>
        <w:t>完成古树资源年度普查和动态更新，及时完善和规范古树资源档案信息，持续对全区建档古树实行分级保护，对所有古树公示牌进行刷新，古树挂牌保护率达到100%。二是全面压实管护责任，定期开展古树保护工作督查，持续与管护单位或个人签订古树名木管（养）护责任书，确保管护合同签订率达到100%。三是继续加大资金投入，把古树保护管理资金纳入本级财政预算，确保古树保护管理工作正常开展。四是加大古树的病虫害防治和修复工作。定期对古树的健康状况、养护复壮活动、生长环境、生长情况、保护现状进行动态监测和跟踪管理，全面准确掌握我区古树资源变化情况，及时完成古树管护、日常养治及复壮修复工作。</w:t>
      </w:r>
    </w:p>
    <w:p w14:paraId="66FBDA94">
      <w:pPr>
        <w:spacing w:line="600" w:lineRule="exact"/>
        <w:ind w:left="643"/>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森林病虫害防治</w:t>
      </w:r>
    </w:p>
    <w:p w14:paraId="34E312B0">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健全林业有害生物监测、检疫、防治网络，完善基础设施，培训技术人员，强化专业队伍力量，加强重大林业有害生物美国白蛾和松材线虫病监测、防治。</w:t>
      </w:r>
    </w:p>
    <w:p w14:paraId="3E8050C0">
      <w:pPr>
        <w:pStyle w:val="6"/>
        <w:spacing w:before="1" w:line="600" w:lineRule="exact"/>
        <w:ind w:right="1722"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1</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继续加大松材线虫病防治力度</w:t>
      </w:r>
    </w:p>
    <w:p w14:paraId="30F4D350">
      <w:pPr>
        <w:pStyle w:val="6"/>
        <w:tabs>
          <w:tab w:val="left" w:pos="6930"/>
        </w:tabs>
        <w:spacing w:before="1" w:line="600" w:lineRule="exact"/>
        <w:ind w:right="-88"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重视松材线虫病的防控工作，制定松材线虫病防控方案，将林业有害生物监测、防治等责任落实到人。结合防控松材线虫病疫情专项行动实施方案，每年及时清理枯死树，使松材线虫病得到有效控制。</w:t>
      </w:r>
    </w:p>
    <w:p w14:paraId="61ED9525">
      <w:pPr>
        <w:pStyle w:val="6"/>
        <w:spacing w:before="1" w:line="600" w:lineRule="exact"/>
        <w:ind w:right="1722"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2</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完善监测体系建设</w:t>
      </w:r>
    </w:p>
    <w:p w14:paraId="36C17927">
      <w:pPr>
        <w:pStyle w:val="6"/>
        <w:spacing w:before="1" w:line="600" w:lineRule="exact"/>
        <w:ind w:right="-88"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加强林业有害生物网格化监测管理，制定常年监测与定期普查方案，开展</w:t>
      </w:r>
      <w:r>
        <w:rPr>
          <w:rFonts w:hint="eastAsia" w:ascii="仿宋_GB2312" w:hAnsi="仿宋_GB2312" w:eastAsia="仿宋_GB2312" w:cs="仿宋_GB2312"/>
          <w:b w:val="0"/>
          <w:bCs w:val="0"/>
          <w:sz w:val="32"/>
          <w:szCs w:val="32"/>
          <w:lang w:eastAsia="zh-CN"/>
        </w:rPr>
        <w:t>美国白蛾、马尾</w:t>
      </w:r>
      <w:r>
        <w:rPr>
          <w:rFonts w:hint="eastAsia" w:ascii="仿宋_GB2312" w:hAnsi="仿宋_GB2312" w:eastAsia="仿宋_GB2312" w:cs="仿宋_GB2312"/>
          <w:b w:val="0"/>
          <w:bCs w:val="0"/>
          <w:sz w:val="32"/>
          <w:szCs w:val="32"/>
        </w:rPr>
        <w:t>松毛虫、松材线虫、</w:t>
      </w:r>
      <w:r>
        <w:rPr>
          <w:rFonts w:hint="eastAsia" w:ascii="仿宋_GB2312" w:hAnsi="仿宋_GB2312" w:eastAsia="仿宋_GB2312" w:cs="仿宋_GB2312"/>
          <w:b w:val="0"/>
          <w:bCs w:val="0"/>
          <w:sz w:val="32"/>
          <w:szCs w:val="32"/>
          <w:highlight w:val="none"/>
          <w:shd w:val="clear"/>
        </w:rPr>
        <w:t>松褐天牛等</w:t>
      </w:r>
      <w:r>
        <w:rPr>
          <w:rFonts w:hint="eastAsia" w:ascii="仿宋_GB2312" w:hAnsi="仿宋_GB2312" w:eastAsia="仿宋_GB2312" w:cs="仿宋_GB2312"/>
          <w:b w:val="0"/>
          <w:bCs w:val="0"/>
          <w:sz w:val="32"/>
          <w:szCs w:val="32"/>
        </w:rPr>
        <w:t>林业有害生物监测调查，按时上报虫情调查报表，落实林业有害生物年度监测与防控，全面提高林业有害生物监测预报水平。</w:t>
      </w:r>
    </w:p>
    <w:p w14:paraId="64FDEFFD">
      <w:pPr>
        <w:pStyle w:val="6"/>
        <w:spacing w:before="1" w:line="600" w:lineRule="exact"/>
        <w:ind w:right="-88"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3</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加强检疫规范化建设</w:t>
      </w:r>
    </w:p>
    <w:p w14:paraId="77C5871A">
      <w:pPr>
        <w:pStyle w:val="6"/>
        <w:spacing w:before="1" w:line="600" w:lineRule="exact"/>
        <w:ind w:right="-88"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加强林业植物检疫执法工作规范化和常态化管理，遏制松材线虫病传播蔓延，严防美国白蛾入侵。加强森林植物及其产品的检疫检查，抓好重点生态功能区、重点林场、苗圃检疫工作。</w:t>
      </w:r>
    </w:p>
    <w:p w14:paraId="5C3A7DCD">
      <w:pPr>
        <w:pStyle w:val="13"/>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b w:val="0"/>
          <w:bCs w:val="0"/>
        </w:rPr>
      </w:pPr>
      <w:r>
        <w:rPr>
          <w:rFonts w:hint="eastAsia"/>
          <w:b w:val="0"/>
          <w:bCs w:val="0"/>
          <w:lang w:val="en-US" w:eastAsia="zh-CN"/>
        </w:rPr>
        <w:t>4、</w:t>
      </w:r>
      <w:r>
        <w:rPr>
          <w:b w:val="0"/>
          <w:bCs w:val="0"/>
        </w:rPr>
        <w:t>森林资源管理</w:t>
      </w:r>
    </w:p>
    <w:p w14:paraId="06D437C5">
      <w:pPr>
        <w:pStyle w:val="13"/>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b w:val="0"/>
          <w:bCs w:val="0"/>
        </w:rPr>
      </w:pPr>
      <w:r>
        <w:rPr>
          <w:rFonts w:hint="eastAsia"/>
          <w:b w:val="0"/>
          <w:bCs w:val="0"/>
          <w:lang w:eastAsia="zh-CN"/>
        </w:rPr>
        <w:t>（</w:t>
      </w:r>
      <w:r>
        <w:rPr>
          <w:rFonts w:hint="eastAsia"/>
          <w:b w:val="0"/>
          <w:bCs w:val="0"/>
          <w:lang w:val="en-US" w:eastAsia="zh-CN"/>
        </w:rPr>
        <w:t>1）</w:t>
      </w:r>
      <w:r>
        <w:rPr>
          <w:b w:val="0"/>
          <w:bCs w:val="0"/>
        </w:rPr>
        <w:t>强化森林资源监测评价与动态管理</w:t>
      </w:r>
    </w:p>
    <w:p w14:paraId="58BE920F">
      <w:pPr>
        <w:pStyle w:val="13"/>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b w:val="0"/>
          <w:bCs w:val="0"/>
        </w:rPr>
      </w:pPr>
      <w:r>
        <w:rPr>
          <w:rFonts w:hint="eastAsia"/>
          <w:b w:val="0"/>
          <w:bCs w:val="0"/>
        </w:rPr>
        <w:t>完善林木采伐、林地保护、湿地保护、野生动植物保护管理制度，严格执行林木采伐限额，科学使用林地建设指标，征占用林地审核率达到</w:t>
      </w:r>
      <w:r>
        <w:rPr>
          <w:b w:val="0"/>
          <w:bCs w:val="0"/>
        </w:rPr>
        <w:t>100%,加大</w:t>
      </w:r>
      <w:r>
        <w:rPr>
          <w:rFonts w:hint="eastAsia"/>
          <w:b w:val="0"/>
          <w:bCs w:val="0"/>
        </w:rPr>
        <w:t>执法力度，对破坏森林资源的违法犯罪行为保持高压严打</w:t>
      </w:r>
      <w:r>
        <w:rPr>
          <w:rFonts w:hint="eastAsia"/>
          <w:b w:val="0"/>
          <w:bCs w:val="0"/>
          <w:lang w:eastAsia="zh-CN"/>
        </w:rPr>
        <w:t>态势</w:t>
      </w:r>
      <w:r>
        <w:rPr>
          <w:rFonts w:hint="eastAsia"/>
          <w:b w:val="0"/>
          <w:bCs w:val="0"/>
        </w:rPr>
        <w:t>，确保</w:t>
      </w:r>
      <w:r>
        <w:rPr>
          <w:b w:val="0"/>
          <w:bCs w:val="0"/>
        </w:rPr>
        <w:t>涉林案件查处率保持在95% 以上</w:t>
      </w:r>
      <w:r>
        <w:rPr>
          <w:rFonts w:hint="eastAsia"/>
          <w:b w:val="0"/>
          <w:bCs w:val="0"/>
        </w:rPr>
        <w:t>。</w:t>
      </w:r>
    </w:p>
    <w:p w14:paraId="171B5676">
      <w:pPr>
        <w:pStyle w:val="13"/>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b w:val="0"/>
          <w:bCs w:val="0"/>
        </w:rPr>
      </w:pPr>
      <w:r>
        <w:rPr>
          <w:rFonts w:hint="eastAsia"/>
          <w:b w:val="0"/>
          <w:bCs w:val="0"/>
          <w:lang w:eastAsia="zh-CN"/>
        </w:rPr>
        <w:t>（</w:t>
      </w:r>
      <w:r>
        <w:rPr>
          <w:rFonts w:hint="eastAsia"/>
          <w:b w:val="0"/>
          <w:bCs w:val="0"/>
          <w:lang w:val="en-US" w:eastAsia="zh-CN"/>
        </w:rPr>
        <w:t>2）</w:t>
      </w:r>
      <w:r>
        <w:rPr>
          <w:b w:val="0"/>
          <w:bCs w:val="0"/>
        </w:rPr>
        <w:t>强化森林资源监测评价与动态管理</w:t>
      </w:r>
    </w:p>
    <w:p w14:paraId="6CC4F9A6">
      <w:pPr>
        <w:pStyle w:val="13"/>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b w:val="0"/>
          <w:bCs w:val="0"/>
        </w:rPr>
      </w:pPr>
      <w:r>
        <w:rPr>
          <w:rFonts w:hint="eastAsia"/>
          <w:b w:val="0"/>
          <w:bCs w:val="0"/>
        </w:rPr>
        <w:t>强化森林、林木、林地消长变化的监测评价和动态管理，采用森林资源精准化动态监测技术，建设以森林资源</w:t>
      </w:r>
      <w:r>
        <w:rPr>
          <w:rFonts w:hint="eastAsia"/>
          <w:b w:val="0"/>
          <w:bCs w:val="0"/>
          <w:lang w:eastAsia="zh-CN"/>
        </w:rPr>
        <w:t>“</w:t>
      </w:r>
      <w:r>
        <w:rPr>
          <w:b w:val="0"/>
          <w:bCs w:val="0"/>
        </w:rPr>
        <w:t>一张图”为本底的经营、</w:t>
      </w:r>
      <w:r>
        <w:rPr>
          <w:rFonts w:hint="eastAsia"/>
          <w:b w:val="0"/>
          <w:bCs w:val="0"/>
        </w:rPr>
        <w:t>管理、监测一体化的监管平台。在现有林地</w:t>
      </w:r>
      <w:r>
        <w:rPr>
          <w:rFonts w:hint="eastAsia"/>
          <w:b w:val="0"/>
          <w:bCs w:val="0"/>
          <w:lang w:eastAsia="zh-CN"/>
        </w:rPr>
        <w:t>“</w:t>
      </w:r>
      <w:r>
        <w:rPr>
          <w:b w:val="0"/>
          <w:bCs w:val="0"/>
        </w:rPr>
        <w:t>一张图”的基础上，完善森林资源、公益林、退耕还林、新造林以及自然保护地</w:t>
      </w:r>
      <w:r>
        <w:rPr>
          <w:rFonts w:hint="eastAsia"/>
          <w:b w:val="0"/>
          <w:bCs w:val="0"/>
        </w:rPr>
        <w:t>等管理数据信息形成森林资源</w:t>
      </w:r>
      <w:r>
        <w:rPr>
          <w:rFonts w:hint="eastAsia"/>
          <w:b w:val="0"/>
          <w:bCs w:val="0"/>
          <w:lang w:eastAsia="zh-CN"/>
        </w:rPr>
        <w:t>“</w:t>
      </w:r>
      <w:r>
        <w:rPr>
          <w:b w:val="0"/>
          <w:bCs w:val="0"/>
        </w:rPr>
        <w:t>一张图”，协同开展森林督察、年度</w:t>
      </w:r>
      <w:r>
        <w:rPr>
          <w:rFonts w:hint="eastAsia"/>
          <w:b w:val="0"/>
          <w:bCs w:val="0"/>
        </w:rPr>
        <w:t>更新、公益林成效监测的数据整合；</w:t>
      </w:r>
      <w:r>
        <w:rPr>
          <w:b w:val="0"/>
          <w:bCs w:val="0"/>
        </w:rPr>
        <w:t>逐步实现森林资源</w:t>
      </w:r>
      <w:r>
        <w:rPr>
          <w:rFonts w:hint="eastAsia"/>
          <w:b w:val="0"/>
          <w:bCs w:val="0"/>
        </w:rPr>
        <w:t>相关管理数据上图入库并及时更新，构建森林资源监测工作一张图；到</w:t>
      </w:r>
      <w:r>
        <w:rPr>
          <w:b w:val="0"/>
          <w:bCs w:val="0"/>
        </w:rPr>
        <w:t>2025年，实现森林资源</w:t>
      </w:r>
      <w:r>
        <w:rPr>
          <w:rFonts w:hint="eastAsia"/>
          <w:b w:val="0"/>
          <w:bCs w:val="0"/>
          <w:lang w:eastAsia="zh-CN"/>
        </w:rPr>
        <w:t>“</w:t>
      </w:r>
      <w:r>
        <w:rPr>
          <w:b w:val="0"/>
          <w:bCs w:val="0"/>
        </w:rPr>
        <w:t>一张图”管理、“一个体系”监测、</w:t>
      </w:r>
      <w:r>
        <w:rPr>
          <w:rFonts w:hint="eastAsia"/>
          <w:b w:val="0"/>
          <w:bCs w:val="0"/>
        </w:rPr>
        <w:t>“</w:t>
      </w:r>
      <w:r>
        <w:rPr>
          <w:b w:val="0"/>
          <w:bCs w:val="0"/>
        </w:rPr>
        <w:t>一套数”评价，为森林资源管理提供基础信息。</w:t>
      </w:r>
    </w:p>
    <w:p w14:paraId="3A3593B3">
      <w:pPr>
        <w:pStyle w:val="13"/>
        <w:keepNext w:val="0"/>
        <w:keepLines w:val="0"/>
        <w:pageBreakBefore w:val="0"/>
        <w:widowControl w:val="0"/>
        <w:kinsoku/>
        <w:wordWrap/>
        <w:overflowPunct/>
        <w:topLinePunct w:val="0"/>
        <w:autoSpaceDE/>
        <w:autoSpaceDN/>
        <w:bidi w:val="0"/>
        <w:adjustRightInd/>
        <w:snapToGrid/>
        <w:spacing w:line="600" w:lineRule="exact"/>
        <w:ind w:firstLine="420"/>
        <w:textAlignment w:val="auto"/>
        <w:rPr>
          <w:rFonts w:hint="eastAsia"/>
          <w:b w:val="0"/>
          <w:bCs w:val="0"/>
        </w:rPr>
      </w:pPr>
      <w:r>
        <w:rPr>
          <w:rFonts w:hint="eastAsia"/>
          <w:b w:val="0"/>
          <w:bCs w:val="0"/>
        </w:rPr>
        <w:t>（</w:t>
      </w:r>
      <w:r>
        <w:rPr>
          <w:rFonts w:hint="eastAsia"/>
          <w:b w:val="0"/>
          <w:bCs w:val="0"/>
          <w:lang w:val="en-US" w:eastAsia="zh-CN"/>
        </w:rPr>
        <w:t>3</w:t>
      </w:r>
      <w:r>
        <w:rPr>
          <w:rFonts w:hint="eastAsia"/>
          <w:b w:val="0"/>
          <w:bCs w:val="0"/>
        </w:rPr>
        <w:t>）严格执行林木采伐限额管理</w:t>
      </w:r>
    </w:p>
    <w:p w14:paraId="68F10300">
      <w:pPr>
        <w:pStyle w:val="13"/>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b w:val="0"/>
          <w:bCs w:val="0"/>
        </w:rPr>
      </w:pPr>
      <w:r>
        <w:rPr>
          <w:rFonts w:hint="eastAsia"/>
          <w:b w:val="0"/>
          <w:bCs w:val="0"/>
        </w:rPr>
        <w:t>依法实行森林限额采伐和凭证采伐管理制度，全面推行采伐作业设计制度和伐前公示制度，且在采伐结束后统一进行核查验收，严禁超范围采伐。规范林木采伐行为，按照</w:t>
      </w:r>
      <w:r>
        <w:rPr>
          <w:rFonts w:hint="eastAsia"/>
          <w:b w:val="0"/>
          <w:bCs w:val="0"/>
          <w:lang w:eastAsia="zh-CN"/>
        </w:rPr>
        <w:t>“双随机、一公开“</w:t>
      </w:r>
      <w:r>
        <w:rPr>
          <w:rFonts w:hint="eastAsia"/>
          <w:b w:val="0"/>
          <w:bCs w:val="0"/>
        </w:rPr>
        <w:t>要求，落实事中事后监管，每年组织开展一次林木采伐专项检查，督促造林更新，查处整改违法违规</w:t>
      </w:r>
      <w:r>
        <w:rPr>
          <w:rFonts w:hint="eastAsia"/>
          <w:b w:val="0"/>
          <w:bCs w:val="0"/>
          <w:lang w:eastAsia="zh-CN"/>
        </w:rPr>
        <w:t>采伐</w:t>
      </w:r>
      <w:r>
        <w:rPr>
          <w:rFonts w:hint="eastAsia"/>
          <w:b w:val="0"/>
          <w:bCs w:val="0"/>
        </w:rPr>
        <w:t>行为</w:t>
      </w:r>
      <w:r>
        <w:rPr>
          <w:rFonts w:hint="eastAsia"/>
          <w:b w:val="0"/>
          <w:bCs w:val="0"/>
          <w:lang w:eastAsia="zh-CN"/>
        </w:rPr>
        <w:t>。</w:t>
      </w:r>
    </w:p>
    <w:p w14:paraId="219AB067">
      <w:pPr>
        <w:pStyle w:val="13"/>
        <w:keepNext w:val="0"/>
        <w:keepLines w:val="0"/>
        <w:pageBreakBefore w:val="0"/>
        <w:widowControl w:val="0"/>
        <w:kinsoku/>
        <w:wordWrap/>
        <w:overflowPunct/>
        <w:topLinePunct w:val="0"/>
        <w:autoSpaceDE/>
        <w:autoSpaceDN/>
        <w:bidi w:val="0"/>
        <w:adjustRightInd/>
        <w:snapToGrid/>
        <w:spacing w:line="600" w:lineRule="exact"/>
        <w:ind w:firstLine="420"/>
        <w:textAlignment w:val="auto"/>
        <w:rPr>
          <w:rFonts w:hint="eastAsia"/>
          <w:b w:val="0"/>
          <w:bCs w:val="0"/>
        </w:rPr>
      </w:pPr>
      <w:r>
        <w:rPr>
          <w:rFonts w:hint="eastAsia"/>
          <w:b w:val="0"/>
          <w:bCs w:val="0"/>
        </w:rPr>
        <w:t>（</w:t>
      </w:r>
      <w:r>
        <w:rPr>
          <w:rFonts w:hint="eastAsia"/>
          <w:b w:val="0"/>
          <w:bCs w:val="0"/>
          <w:lang w:val="en-US" w:eastAsia="zh-CN"/>
        </w:rPr>
        <w:t>4</w:t>
      </w:r>
      <w:r>
        <w:rPr>
          <w:rFonts w:hint="eastAsia"/>
          <w:b w:val="0"/>
          <w:bCs w:val="0"/>
        </w:rPr>
        <w:t>）加强林地保护管理</w:t>
      </w:r>
    </w:p>
    <w:p w14:paraId="2F7B91D6">
      <w:pPr>
        <w:pStyle w:val="13"/>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b w:val="0"/>
          <w:bCs w:val="0"/>
        </w:rPr>
      </w:pPr>
      <w:r>
        <w:rPr>
          <w:rFonts w:hint="eastAsia"/>
          <w:b w:val="0"/>
          <w:bCs w:val="0"/>
        </w:rPr>
        <w:t>坚守林地保护红线，严格执行林地保护利用规划，规范林地征占审批手续，科学使用林地建设指标，确保征占用林地审核率达到</w:t>
      </w:r>
      <w:r>
        <w:rPr>
          <w:b w:val="0"/>
          <w:bCs w:val="0"/>
        </w:rPr>
        <w:t>100%</w:t>
      </w:r>
      <w:r>
        <w:rPr>
          <w:rFonts w:hint="eastAsia"/>
          <w:b w:val="0"/>
          <w:bCs w:val="0"/>
        </w:rPr>
        <w:t>，按照</w:t>
      </w:r>
      <w:r>
        <w:rPr>
          <w:rFonts w:hint="eastAsia"/>
          <w:b w:val="0"/>
          <w:bCs w:val="0"/>
          <w:lang w:eastAsia="zh-CN"/>
        </w:rPr>
        <w:t>“双随机、一公开“</w:t>
      </w:r>
      <w:r>
        <w:rPr>
          <w:rFonts w:hint="eastAsia"/>
          <w:b w:val="0"/>
          <w:bCs w:val="0"/>
        </w:rPr>
        <w:t>要求，落实事中事后监管，每年组织开展一次使用林地专项检查，重点检查临时使用林地到期后恢复林业生产条件情况，查处整改违法违规</w:t>
      </w:r>
      <w:r>
        <w:rPr>
          <w:rFonts w:hint="eastAsia"/>
          <w:b w:val="0"/>
          <w:bCs w:val="0"/>
          <w:lang w:eastAsia="zh-CN"/>
        </w:rPr>
        <w:t>使用林地</w:t>
      </w:r>
      <w:r>
        <w:rPr>
          <w:rFonts w:hint="eastAsia"/>
          <w:b w:val="0"/>
          <w:bCs w:val="0"/>
        </w:rPr>
        <w:t>行为，</w:t>
      </w:r>
    </w:p>
    <w:p w14:paraId="38E2E372">
      <w:pPr>
        <w:spacing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rPr>
        <w:t>）强化湿地保护管理</w:t>
      </w:r>
    </w:p>
    <w:p w14:paraId="4C9F99D7">
      <w:pPr>
        <w:spacing w:line="600" w:lineRule="exact"/>
        <w:ind w:firstLine="640" w:firstLineChars="200"/>
        <w:rPr>
          <w:rFonts w:ascii="仿宋_GB2312" w:hAnsi="仿宋_GB2312" w:eastAsia="仿宋_GB2312" w:cs="仿宋_GB2312"/>
          <w:b w:val="0"/>
          <w:bCs w:val="0"/>
          <w:sz w:val="32"/>
          <w:szCs w:val="32"/>
          <w:shd w:val="clear" w:color="auto" w:fill="FFFFFF"/>
        </w:rPr>
      </w:pPr>
      <w:r>
        <w:rPr>
          <w:rFonts w:hint="eastAsia" w:ascii="仿宋_GB2312" w:hAnsi="仿宋_GB2312" w:eastAsia="仿宋_GB2312" w:cs="仿宋_GB2312"/>
          <w:b w:val="0"/>
          <w:bCs w:val="0"/>
          <w:sz w:val="32"/>
          <w:szCs w:val="32"/>
          <w:shd w:val="clear" w:color="FFFFFF" w:fill="auto"/>
        </w:rPr>
        <w:t>积极宣传湿地保护政策，严格湿地保护红线，</w:t>
      </w:r>
      <w:r>
        <w:rPr>
          <w:rFonts w:hint="eastAsia" w:ascii="仿宋_GB2312" w:hAnsi="仿宋_GB2312" w:eastAsia="仿宋_GB2312" w:cs="仿宋_GB2312"/>
          <w:b w:val="0"/>
          <w:bCs w:val="0"/>
          <w:sz w:val="32"/>
          <w:szCs w:val="32"/>
        </w:rPr>
        <w:t>加强湿地资源保护基础设施建设，加大湿地保护力度，按照</w:t>
      </w:r>
      <w:r>
        <w:rPr>
          <w:rFonts w:hint="eastAsia" w:ascii="仿宋_GB2312" w:hAnsi="仿宋_GB2312" w:eastAsia="仿宋_GB2312" w:cs="仿宋_GB2312"/>
          <w:b w:val="0"/>
          <w:bCs w:val="0"/>
          <w:sz w:val="32"/>
          <w:szCs w:val="32"/>
          <w:shd w:val="clear" w:color="FFFFFF" w:fill="auto"/>
        </w:rPr>
        <w:t>“占一补一、占补平衡”的原则，确保湿地保护面积不减少，</w:t>
      </w:r>
      <w:r>
        <w:rPr>
          <w:rFonts w:hint="eastAsia" w:ascii="仿宋_GB2312" w:hAnsi="仿宋_GB2312" w:eastAsia="仿宋_GB2312" w:cs="仿宋_GB2312"/>
          <w:b w:val="0"/>
          <w:bCs w:val="0"/>
          <w:sz w:val="32"/>
          <w:szCs w:val="32"/>
        </w:rPr>
        <w:t>确保湿地保护率达到55</w:t>
      </w:r>
      <w:r>
        <w:rPr>
          <w:rFonts w:hint="eastAsia" w:ascii="仿宋_GB2312" w:hAnsi="仿宋_GB2312" w:eastAsia="仿宋_GB2312" w:cs="仿宋_GB2312"/>
          <w:b w:val="0"/>
          <w:bCs w:val="0"/>
          <w:sz w:val="32"/>
          <w:szCs w:val="32"/>
          <w:shd w:val="clear" w:color="auto" w:fill="FFFFFF"/>
        </w:rPr>
        <w:t>%以上。</w:t>
      </w:r>
    </w:p>
    <w:p w14:paraId="1B11B99B">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6）</w:t>
      </w:r>
      <w:r>
        <w:rPr>
          <w:rFonts w:ascii="仿宋_GB2312" w:hAnsi="仿宋_GB2312" w:eastAsia="仿宋_GB2312" w:cs="仿宋_GB2312"/>
          <w:b w:val="0"/>
          <w:bCs w:val="0"/>
          <w:sz w:val="32"/>
          <w:szCs w:val="32"/>
        </w:rPr>
        <w:t>野生动植物保护</w:t>
      </w:r>
    </w:p>
    <w:p w14:paraId="1779BAAC">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加大科普宣传力度，提升群众爱护并自主保护野生动植物意识。认真贯彻落实《中华人民共和国野生动物保护法》</w:t>
      </w:r>
      <w:r>
        <w:rPr>
          <w:rFonts w:hint="eastAsia"/>
          <w:b w:val="0"/>
          <w:bCs w:val="0"/>
        </w:rPr>
        <w:t>。</w:t>
      </w:r>
      <w:r>
        <w:rPr>
          <w:rFonts w:hint="eastAsia" w:ascii="仿宋_GB2312" w:hAnsi="仿宋_GB2312" w:eastAsia="仿宋_GB2312" w:cs="仿宋_GB2312"/>
          <w:b w:val="0"/>
          <w:bCs w:val="0"/>
          <w:sz w:val="32"/>
          <w:szCs w:val="32"/>
        </w:rPr>
        <w:t>大力开展野生动植物生存地保护和自然保护区建设，加强外来物种监管，防范野生动物疫源疫病入侵，针对银杏等种质资源实施专项保护，有效保护生物多样性。严格野生动物保护管理，对野生动物重要分布区、栖息地实行网格化管理，建立健全野生动物及其栖息地档案，促进野外种群恢复与保护。加强野生动物保护监测能力建设，提升野生动物疫病应急处置能力，切实保障生态安全、人民群众生命健康和社会公共安全。全面加强野生动物执法，严厉打击乱捕滥猎、非法交易野生动物等违法犯罪行为，停止受理以食用为目的的猎捕、经营野生动物活动申请，严格规范对非食用性利用野生动物。</w:t>
      </w:r>
    </w:p>
    <w:p w14:paraId="0ACE9820">
      <w:pPr>
        <w:spacing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对管辖范围内的自然保护地、国有林场、有重点保护野生植物分布的地区和野生植物人工培育</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经营利用单位</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进行巡护和检查，及时发现和查处乱采滥挖、非法采集、毁坏重点保护野生植物资源和破坏生态环境行为。</w:t>
      </w:r>
    </w:p>
    <w:p w14:paraId="78779FB0">
      <w:pPr>
        <w:spacing w:line="600" w:lineRule="exact"/>
        <w:ind w:firstLine="420" w:firstLineChars="200"/>
        <w:rPr>
          <w:rFonts w:hint="eastAsia" w:ascii="仿宋_GB2312" w:hAnsi="仿宋_GB2312" w:eastAsia="仿宋_GB2312" w:cs="仿宋_GB2312"/>
          <w:b w:val="0"/>
          <w:bCs w:val="0"/>
          <w:sz w:val="32"/>
          <w:szCs w:val="32"/>
        </w:rPr>
      </w:pPr>
      <w:r>
        <w:rPr>
          <w:b w:val="0"/>
          <w:bCs w:val="0"/>
        </w:rPr>
        <w:t xml:space="preserve"> </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7</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进一步规范林业行政执法工作</w:t>
      </w:r>
    </w:p>
    <w:p w14:paraId="0BD3B2AA">
      <w:pPr>
        <w:spacing w:line="600" w:lineRule="exact"/>
        <w:ind w:firstLine="640" w:firstLineChars="200"/>
        <w:rPr>
          <w:b w:val="0"/>
          <w:bCs w:val="0"/>
        </w:rPr>
      </w:pPr>
      <w:r>
        <w:rPr>
          <w:rFonts w:hint="eastAsia" w:ascii="仿宋_GB2312" w:hAnsi="仿宋_GB2312" w:eastAsia="仿宋_GB2312" w:cs="仿宋_GB2312"/>
          <w:b w:val="0"/>
          <w:bCs w:val="0"/>
          <w:sz w:val="32"/>
          <w:szCs w:val="32"/>
        </w:rPr>
        <w:t>充分发挥林业行政执法队伍在林业改革发展的保驾护航作用，实行林业综合执法，适时组织专项打击整治行动，依法严厉打击乱砍滥伐林木、乱征滥占林地、乱捕滥猎野生动物、乱采滥挖野生植物等违法犯罪行为，持续保持对破坏森林资源违法犯罪行为的高压</w:t>
      </w:r>
      <w:r>
        <w:rPr>
          <w:rFonts w:hint="eastAsia" w:ascii="仿宋_GB2312" w:hAnsi="仿宋_GB2312" w:eastAsia="仿宋_GB2312" w:cs="仿宋_GB2312"/>
          <w:b w:val="0"/>
          <w:bCs w:val="0"/>
          <w:sz w:val="32"/>
          <w:szCs w:val="32"/>
          <w:lang w:eastAsia="zh-CN"/>
        </w:rPr>
        <w:t>严打</w:t>
      </w:r>
      <w:r>
        <w:rPr>
          <w:rFonts w:hint="eastAsia" w:ascii="仿宋_GB2312" w:hAnsi="仿宋_GB2312" w:eastAsia="仿宋_GB2312" w:cs="仿宋_GB2312"/>
          <w:b w:val="0"/>
          <w:bCs w:val="0"/>
          <w:sz w:val="32"/>
          <w:szCs w:val="32"/>
        </w:rPr>
        <w:t>态势，</w:t>
      </w:r>
      <w:r>
        <w:rPr>
          <w:rFonts w:hint="eastAsia" w:ascii="仿宋_GB2312" w:hAnsi="仿宋_GB2312" w:eastAsia="仿宋_GB2312" w:cs="仿宋_GB2312"/>
          <w:b w:val="0"/>
          <w:bCs w:val="0"/>
          <w:sz w:val="32"/>
          <w:szCs w:val="32"/>
          <w:lang w:eastAsia="zh-CN"/>
        </w:rPr>
        <w:t>确保</w:t>
      </w:r>
      <w:r>
        <w:rPr>
          <w:rFonts w:hint="eastAsia" w:ascii="仿宋_GB2312" w:hAnsi="仿宋_GB2312" w:eastAsia="仿宋_GB2312" w:cs="仿宋_GB2312"/>
          <w:b w:val="0"/>
          <w:bCs w:val="0"/>
          <w:sz w:val="32"/>
          <w:szCs w:val="32"/>
        </w:rPr>
        <w:t>破坏森林资源案件发生率逐年降低</w:t>
      </w:r>
      <w:r>
        <w:rPr>
          <w:rFonts w:hint="eastAsia"/>
          <w:b w:val="0"/>
          <w:bCs w:val="0"/>
        </w:rPr>
        <w:t>。</w:t>
      </w:r>
    </w:p>
    <w:p w14:paraId="41DC3ED9">
      <w:pPr>
        <w:pStyle w:val="2"/>
        <w:bidi w:val="0"/>
      </w:pPr>
      <w:bookmarkStart w:id="41" w:name="_Toc30801"/>
      <w:r>
        <w:rPr>
          <w:rFonts w:hint="eastAsia"/>
        </w:rPr>
        <w:t>二、加快发展林特产业，实现“产业优”</w:t>
      </w:r>
      <w:bookmarkEnd w:id="41"/>
    </w:p>
    <w:p w14:paraId="3FBE3518">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依托曾都森林资源优势，以市场需求为导向，以科技为支撑，不断提高林地产出率与利用率，大力提升第一产业；扶持</w:t>
      </w:r>
      <w:r>
        <w:rPr>
          <w:rFonts w:hint="eastAsia" w:ascii="仿宋_GB2312" w:hAnsi="仿宋_GB2312" w:eastAsia="仿宋_GB2312" w:cs="仿宋_GB2312"/>
          <w:b w:val="0"/>
          <w:bCs w:val="0"/>
          <w:sz w:val="32"/>
          <w:szCs w:val="32"/>
          <w:lang w:eastAsia="zh-CN"/>
        </w:rPr>
        <w:t>战略性新兴产业</w:t>
      </w:r>
      <w:r>
        <w:rPr>
          <w:rFonts w:hint="eastAsia" w:ascii="仿宋_GB2312" w:hAnsi="仿宋_GB2312" w:eastAsia="仿宋_GB2312" w:cs="仿宋_GB2312"/>
          <w:b w:val="0"/>
          <w:bCs w:val="0"/>
          <w:sz w:val="32"/>
          <w:szCs w:val="32"/>
        </w:rPr>
        <w:t>，实施商标品牌战略，努力培育经济增长点，优化壮大第二产业；以生态旅游为重点，发展林业服务业，推动建立林产品交易市场，加快推进第三产业。</w:t>
      </w:r>
    </w:p>
    <w:p w14:paraId="0A7FFECA">
      <w:pPr>
        <w:pStyle w:val="4"/>
        <w:bidi w:val="0"/>
      </w:pPr>
      <w:r>
        <w:rPr>
          <w:rFonts w:hint="eastAsia"/>
        </w:rPr>
        <w:t>（一）大力提升第一产业</w:t>
      </w:r>
    </w:p>
    <w:p w14:paraId="1F902E8C">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1、木本油料林基地建设</w:t>
      </w:r>
    </w:p>
    <w:p w14:paraId="78C8C6B3">
      <w:pPr>
        <w:spacing w:line="600" w:lineRule="exact"/>
        <w:ind w:firstLine="640" w:firstLineChars="200"/>
        <w:rPr>
          <w:rFonts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sz w:val="32"/>
          <w:szCs w:val="32"/>
        </w:rPr>
        <w:t>着力发展特色优势产业基地，形成各具特色的规模大、集约水平高的原材料基地。以发展适宜我区种植的油茶、油桐、乌桕良种为主，以万店镇、何店镇、洛阳镇、府河镇为重点地区进行合理布局，加快木本油料基地建设，</w:t>
      </w:r>
      <w:r>
        <w:rPr>
          <w:rFonts w:hint="eastAsia" w:ascii="仿宋_GB2312" w:hAnsi="仿宋_GB2312" w:eastAsia="仿宋_GB2312" w:cs="仿宋_GB2312"/>
          <w:b w:val="0"/>
          <w:bCs w:val="0"/>
          <w:color w:val="auto"/>
          <w:sz w:val="32"/>
          <w:szCs w:val="32"/>
          <w:highlight w:val="none"/>
        </w:rPr>
        <w:t>全区油茶基地达到3万亩。</w:t>
      </w:r>
    </w:p>
    <w:p w14:paraId="4DC87E3A">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2、特色经济林基地建设</w:t>
      </w:r>
    </w:p>
    <w:p w14:paraId="0A0CD2B4">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以板栗、银杏、茶叶、桃李、花椒等为重点，建设高效经济林基地5万亩。在区域布局上以万店、何店、洛阳、南郊等镇、办为重点。</w:t>
      </w:r>
    </w:p>
    <w:p w14:paraId="0EEFA9B4">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3、苗木花卉产业基地建设</w:t>
      </w:r>
    </w:p>
    <w:p w14:paraId="2D7636E7">
      <w:pPr>
        <w:spacing w:line="600" w:lineRule="exact"/>
        <w:ind w:firstLine="640" w:firstLineChars="200"/>
        <w:rPr>
          <w:rFonts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rPr>
        <w:t>依托曾都区位优势，坚持市场需求导向，以城南新区、南郊街道办事处、北郊街道办事处为重点，</w:t>
      </w:r>
      <w:r>
        <w:rPr>
          <w:rFonts w:hint="eastAsia" w:ascii="仿宋_GB2312" w:hAnsi="仿宋_GB2312" w:eastAsia="仿宋_GB2312" w:cs="仿宋_GB2312"/>
          <w:b w:val="0"/>
          <w:bCs w:val="0"/>
          <w:sz w:val="32"/>
          <w:szCs w:val="32"/>
          <w:highlight w:val="none"/>
        </w:rPr>
        <w:t>做大做强苗木花卉产业，建成苗木花卉基地</w:t>
      </w:r>
      <w:r>
        <w:rPr>
          <w:rFonts w:hint="eastAsia" w:ascii="仿宋_GB2312" w:hAnsi="仿宋_GB2312" w:eastAsia="仿宋_GB2312" w:cs="仿宋_GB2312"/>
          <w:b w:val="0"/>
          <w:bCs w:val="0"/>
          <w:sz w:val="32"/>
          <w:szCs w:val="32"/>
          <w:highlight w:val="none"/>
          <w:lang w:val="en-US" w:eastAsia="zh-CN"/>
        </w:rPr>
        <w:t>4</w:t>
      </w:r>
      <w:r>
        <w:rPr>
          <w:rFonts w:hint="eastAsia" w:ascii="仿宋_GB2312" w:hAnsi="仿宋_GB2312" w:eastAsia="仿宋_GB2312" w:cs="仿宋_GB2312"/>
          <w:b w:val="0"/>
          <w:bCs w:val="0"/>
          <w:sz w:val="32"/>
          <w:szCs w:val="32"/>
          <w:highlight w:val="none"/>
        </w:rPr>
        <w:t>000亩。</w:t>
      </w:r>
    </w:p>
    <w:p w14:paraId="0120C1B2">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4、香菇产业建设</w:t>
      </w:r>
    </w:p>
    <w:p w14:paraId="16CC497F">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在洛阳、何店、万店、府河、南郊等地发展食用菌种植，重点扶持香菇加工企业3-4家，建设5万棒以上的香菇生产基地30家，培植省级农业产业化龙头企业4家，菌种生产企业4-5家，打造优势食用菌品牌3个以上，获得“三品一标”认证产品5个以上，筹建具备制棒、加工、培训、研发及产品交易功能于一体的食用菌产业园一个,香菇（鲜）交易市场一个。使曾都区食用菌产业规模稳定在4000万棒以上，总产值由2019年的22.86亿元提高到30亿元，初加工转化率达95%，产业带动2500农户，人均可支配收入2万元。</w:t>
      </w:r>
    </w:p>
    <w:p w14:paraId="1CDD1327">
      <w:pPr>
        <w:pStyle w:val="4"/>
        <w:bidi w:val="0"/>
      </w:pPr>
      <w:r>
        <w:rPr>
          <w:rFonts w:hint="eastAsia"/>
        </w:rPr>
        <w:t>（二）优化壮大第二产业</w:t>
      </w:r>
    </w:p>
    <w:p w14:paraId="219D84D9">
      <w:pPr>
        <w:spacing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木材加工业</w:t>
      </w:r>
    </w:p>
    <w:p w14:paraId="0010BC6C">
      <w:pPr>
        <w:spacing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以吉林森工湖北人造板有限公司为主，积极培育壮大灵龙木业有限公司</w:t>
      </w:r>
    </w:p>
    <w:p w14:paraId="1307FA3B">
      <w:pPr>
        <w:spacing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森林食品加工业</w:t>
      </w:r>
    </w:p>
    <w:p w14:paraId="4BC16E35">
      <w:pPr>
        <w:pStyle w:val="13"/>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rPr>
      </w:pPr>
      <w:r>
        <w:rPr>
          <w:rFonts w:hint="eastAsia"/>
        </w:rPr>
        <w:t>以湖北三友食品有限公司、湖北神龙生态食品有限公司为龙头，依托“随州香菇”地理标识品牌，开展食用菌精深加工，开发新型产品，提高产品科技含量，提升产品附加值，增强食用菌产品市场竞争力，实现农民增收、国家增税、企业增效。</w:t>
      </w:r>
    </w:p>
    <w:p w14:paraId="4C23C7BF">
      <w:pPr>
        <w:spacing w:line="600" w:lineRule="exact"/>
        <w:ind w:firstLine="640" w:firstLineChars="200"/>
        <w:rPr>
          <w:rFonts w:hint="eastAsia" w:ascii="仿宋_GB2312" w:hAnsi="仿宋_GB2312" w:eastAsia="仿宋_GB2312" w:cs="仿宋_GB2312"/>
          <w:b w:val="0"/>
          <w:bCs w:val="0"/>
          <w:sz w:val="32"/>
          <w:szCs w:val="32"/>
        </w:rPr>
      </w:pPr>
      <w:r>
        <w:rPr>
          <w:rFonts w:hint="eastAsia" w:eastAsia="仿宋_GB2312"/>
          <w:sz w:val="32"/>
          <w:szCs w:val="32"/>
          <w:lang w:val="en-US" w:eastAsia="zh-CN"/>
        </w:rPr>
        <w:t>3、</w:t>
      </w:r>
      <w:r>
        <w:rPr>
          <w:rFonts w:hint="eastAsia" w:ascii="仿宋_GB2312" w:hAnsi="仿宋_GB2312" w:eastAsia="仿宋_GB2312" w:cs="仿宋_GB2312"/>
          <w:b w:val="0"/>
          <w:bCs w:val="0"/>
          <w:sz w:val="32"/>
          <w:szCs w:val="32"/>
        </w:rPr>
        <w:t>木本油料精深加工业</w:t>
      </w:r>
    </w:p>
    <w:p w14:paraId="6E5EADA1">
      <w:pPr>
        <w:spacing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以舜天粮油产业股份有限公司、湖北田丰现代农业股份有限公司为中心开展油茶、核桃产品精深加工，提高栎园春牌山茶油知名度，壮大木本油料加工产业。</w:t>
      </w:r>
    </w:p>
    <w:p w14:paraId="004ADD0E">
      <w:pPr>
        <w:spacing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中药材种植加工业</w:t>
      </w:r>
    </w:p>
    <w:p w14:paraId="14DBD783">
      <w:pPr>
        <w:spacing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以何店镇谢店村十九山中药材基地和湖北大洪山园泰中药材有限公司等龙头企业，大力发展中药材，打造木材加工、森林食品、木本油料、生物质能源、中药材等现代林业产业园。</w:t>
      </w:r>
    </w:p>
    <w:p w14:paraId="28D223BC">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到2025年，吉林森工湖北人造板有限公司年加工产值达到10亿元，湖北三友食品有限公司年加工产值达到10亿元，湖北神农生态食品有限公司年加工产值达到10亿元，湖北大洪山园泰中药材有限公司年加工产值达到12亿元，木本油料和中药材加工产值达到30亿元。着力构建“市场牵龙头，龙头连基地，基地带农户”的产业化发展格局，积极推进产业优化升级，努力提高林业经济效益。积极争取省、市支持，将园区建设成为国家级林业重点产业园区。</w:t>
      </w:r>
    </w:p>
    <w:p w14:paraId="13517837">
      <w:pPr>
        <w:pStyle w:val="4"/>
        <w:bidi w:val="0"/>
      </w:pPr>
      <w:r>
        <w:rPr>
          <w:rFonts w:hint="eastAsia"/>
        </w:rPr>
        <w:t>（三）加快推进第三产业</w:t>
      </w:r>
    </w:p>
    <w:p w14:paraId="1AA00373">
      <w:pPr>
        <w:spacing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发展森林旅游</w:t>
      </w:r>
    </w:p>
    <w:p w14:paraId="16F6BA6B">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依托现光山旅游资源，建设府河镇灵秀仙城山项目，大力发展观光旅游产业，全力打造山水文化旅游、休闲养生旅游品牌，将府河镇建设成为省级乡村旅游富民示范基地。利用交通区位优势，依托南郊盛亩园、北郊心愿开心农场，着力开发采摘基地、主题田园、科教田园、创意田园等旅游业态，大力发展观光农业、休闲农业，蓬勃发展田园综合体，将南郊街道、北郊街道建成“都市林业”示范带。抢抓乡村振兴战略机遇，围绕美丽乡村建设，以优势旅游资源和重要景区为依托，大力发展乡村旅游。以千年银杏谷景区为中心，依托“湖北随州银杏省级森林公园”，通过曾都区古银杏国家森林公园建设、随州“洛阳驿”综合服务驿站建设，全力推动中国千年银杏谷景区创建国家级旅游度假区，推进罗什寨文化生态旅游区建设，引入具有国际视野的旅游企业、民宿爱好者及创业者等选择银杏谷、九口堰、罗什寨等区域建设一批生态民宿群落，同时积极完善健康步道、嬉水乐园、生态银杏园、观光农园等丰富多元的配套产品，把洛阳镇建设成为省级旅游强镇、生态旅游特色镇。</w:t>
      </w:r>
    </w:p>
    <w:p w14:paraId="63A2B16E">
      <w:pPr>
        <w:spacing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w:t>
      </w:r>
      <w:r>
        <w:rPr>
          <w:rFonts w:hint="eastAsia" w:ascii="仿宋_GB2312" w:hAnsi="仿宋_GB2312" w:eastAsia="仿宋_GB2312" w:cs="仿宋_GB2312"/>
          <w:b w:val="0"/>
          <w:bCs w:val="0"/>
          <w:sz w:val="32"/>
          <w:szCs w:val="32"/>
          <w:lang w:eastAsia="zh-CN"/>
        </w:rPr>
        <w:t>、</w:t>
      </w:r>
      <w:r>
        <w:rPr>
          <w:rFonts w:ascii="仿宋_GB2312" w:hAnsi="仿宋_GB2312" w:eastAsia="仿宋_GB2312" w:cs="仿宋_GB2312"/>
          <w:b w:val="0"/>
          <w:bCs w:val="0"/>
          <w:sz w:val="32"/>
          <w:szCs w:val="32"/>
        </w:rPr>
        <w:t xml:space="preserve"> </w:t>
      </w:r>
      <w:r>
        <w:rPr>
          <w:rFonts w:hint="eastAsia" w:ascii="仿宋_GB2312" w:hAnsi="仿宋_GB2312" w:eastAsia="仿宋_GB2312" w:cs="仿宋_GB2312"/>
          <w:b w:val="0"/>
          <w:bCs w:val="0"/>
          <w:sz w:val="32"/>
          <w:szCs w:val="32"/>
        </w:rPr>
        <w:t>发展森林旅游康养</w:t>
      </w:r>
    </w:p>
    <w:p w14:paraId="6A4A0733">
      <w:pPr>
        <w:spacing w:line="600" w:lineRule="exact"/>
        <w:ind w:firstLine="640" w:firstLineChars="200"/>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sz w:val="32"/>
          <w:szCs w:val="32"/>
        </w:rPr>
        <w:t>以优美生态环境为依托，</w:t>
      </w:r>
      <w:r>
        <w:rPr>
          <w:rFonts w:hint="eastAsia" w:ascii="仿宋_GB2312" w:hAnsi="仿宋_GB2312" w:eastAsia="仿宋_GB2312" w:cs="仿宋_GB2312"/>
          <w:b w:val="0"/>
          <w:bCs w:val="0"/>
          <w:sz w:val="32"/>
          <w:szCs w:val="32"/>
          <w:shd w:val="clear" w:color="auto" w:fill="FFFFFF"/>
        </w:rPr>
        <w:t>按照康养银杏谷、诗画</w:t>
      </w:r>
      <w:r>
        <w:rPr>
          <w:rFonts w:hint="eastAsia" w:ascii="仿宋_GB2312" w:hAnsi="仿宋_GB2312" w:eastAsia="仿宋_GB2312" w:cs="仿宋_GB2312"/>
          <w:b w:val="0"/>
          <w:bCs w:val="0"/>
          <w:color w:val="000000" w:themeColor="text1"/>
          <w:sz w:val="32"/>
          <w:szCs w:val="32"/>
          <w:shd w:val="clear" w:color="auto" w:fill="FFFFFF"/>
          <w14:textFill>
            <w14:solidFill>
              <w14:schemeClr w14:val="tx1"/>
            </w14:solidFill>
          </w14:textFill>
        </w:rPr>
        <w:t>银杏谷建设要求，利用森林古道、作业林道，挖掘林区森林康养资源，</w:t>
      </w:r>
      <w:r>
        <w:rPr>
          <w:rFonts w:hint="eastAsia" w:ascii="仿宋_GB2312" w:hAnsi="仿宋_GB2312" w:eastAsia="仿宋_GB2312" w:cs="仿宋_GB2312"/>
          <w:b w:val="0"/>
          <w:bCs w:val="0"/>
          <w:sz w:val="32"/>
          <w:szCs w:val="32"/>
        </w:rPr>
        <w:t>以生态康养、生态文旅、生态农业三大产业为基础，以闲置的空心村民房和土地为对象，打造以“一宅一院一块田”为特征的社区共享农场，建设</w:t>
      </w:r>
      <w:r>
        <w:rPr>
          <w:rFonts w:hint="eastAsia" w:ascii="仿宋_GB2312" w:hAnsi="仿宋_GB2312" w:eastAsia="仿宋_GB2312" w:cs="仿宋_GB2312"/>
          <w:b w:val="0"/>
          <w:bCs w:val="0"/>
          <w:color w:val="000000" w:themeColor="text1"/>
          <w:sz w:val="32"/>
          <w:szCs w:val="32"/>
          <w14:textFill>
            <w14:solidFill>
              <w14:schemeClr w14:val="tx1"/>
            </w14:solidFill>
          </w14:textFill>
        </w:rPr>
        <w:t>曾都国际银杏康养谷，</w:t>
      </w:r>
      <w:r>
        <w:rPr>
          <w:rFonts w:hint="eastAsia" w:ascii="仿宋_GB2312" w:hAnsi="仿宋_GB2312" w:eastAsia="仿宋_GB2312" w:cs="仿宋_GB2312"/>
          <w:b w:val="0"/>
          <w:bCs w:val="0"/>
          <w:sz w:val="32"/>
          <w:szCs w:val="32"/>
        </w:rPr>
        <w:t>有效解决农村空心化问题，形成乡村振兴新模式</w:t>
      </w:r>
      <w:r>
        <w:rPr>
          <w:rFonts w:hint="eastAsia" w:ascii="仿宋_GB2312" w:hAnsi="仿宋_GB2312" w:eastAsia="仿宋_GB2312" w:cs="仿宋_GB2312"/>
          <w:b w:val="0"/>
          <w:bCs w:val="0"/>
          <w:color w:val="000000" w:themeColor="text1"/>
          <w:sz w:val="32"/>
          <w:szCs w:val="32"/>
          <w14:textFill>
            <w14:solidFill>
              <w14:schemeClr w14:val="tx1"/>
            </w14:solidFill>
          </w14:textFill>
        </w:rPr>
        <w:t>；</w:t>
      </w:r>
      <w:r>
        <w:rPr>
          <w:rFonts w:hint="eastAsia" w:ascii="仿宋_GB2312" w:hAnsi="仿宋_GB2312" w:eastAsia="仿宋_GB2312" w:cs="仿宋_GB2312"/>
          <w:b w:val="0"/>
          <w:bCs w:val="0"/>
          <w:sz w:val="32"/>
          <w:szCs w:val="32"/>
        </w:rPr>
        <w:t>利用何店镇谢店村的自然原生态优势，发展十九山生态文化旅游业，建设万亩薄壳山核桃、有机稻米、有机油菜、优质樱桃基地，形成多产业融合发展；凯达实业依托城区近郊优势，</w:t>
      </w:r>
      <w:r>
        <w:rPr>
          <w:rFonts w:hint="eastAsia" w:ascii="仿宋_GB2312" w:hAnsi="仿宋_GB2312" w:eastAsia="仿宋_GB2312" w:cs="仿宋_GB2312"/>
          <w:b w:val="0"/>
          <w:bCs w:val="0"/>
          <w:color w:val="000000" w:themeColor="text1"/>
          <w:sz w:val="32"/>
          <w:szCs w:val="32"/>
          <w14:textFill>
            <w14:solidFill>
              <w14:schemeClr w14:val="tx1"/>
            </w14:solidFill>
          </w14:textFill>
        </w:rPr>
        <w:t>按“一山一主题、一坡一景色、一院一文化”的规划建立综合性养生养老康乐基地。</w:t>
      </w:r>
      <w:r>
        <w:rPr>
          <w:rFonts w:hint="eastAsia" w:ascii="仿宋_GB2312" w:hAnsi="仿宋_GB2312" w:eastAsia="仿宋_GB2312" w:cs="仿宋_GB2312"/>
          <w:b w:val="0"/>
          <w:bCs w:val="0"/>
          <w:sz w:val="32"/>
          <w:szCs w:val="32"/>
        </w:rPr>
        <w:t>带动15000人劳动就业，年可实现产值4.2亿元。</w:t>
      </w:r>
    </w:p>
    <w:p w14:paraId="62028C2D">
      <w:pPr>
        <w:pStyle w:val="2"/>
        <w:bidi w:val="0"/>
        <w:rPr>
          <w:rFonts w:hint="eastAsia"/>
        </w:rPr>
      </w:pPr>
      <w:bookmarkStart w:id="42" w:name="_Toc3188"/>
      <w:bookmarkStart w:id="43" w:name="_Toc23548"/>
      <w:r>
        <w:rPr>
          <w:rFonts w:hint="eastAsia"/>
        </w:rPr>
        <w:t>三、全面深化改革创新，实现“机制活”</w:t>
      </w:r>
      <w:bookmarkEnd w:id="42"/>
    </w:p>
    <w:p w14:paraId="7C4CB595">
      <w:pPr>
        <w:pStyle w:val="4"/>
        <w:bidi w:val="0"/>
        <w:rPr>
          <w:rFonts w:hint="eastAsia"/>
        </w:rPr>
      </w:pPr>
      <w:r>
        <w:rPr>
          <w:rFonts w:hint="eastAsia"/>
        </w:rPr>
        <w:t>（一）加强自然保护地体系建设</w:t>
      </w:r>
      <w:bookmarkEnd w:id="43"/>
    </w:p>
    <w:p w14:paraId="251A29A1">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一是编制自然保护地规划，整合交叉重叠的自然保护地，归并优化相邻自然保护地，整合优化后，全区自然保护地根据国家林业和草原局《自然保护区等自然保护地勘界立标工作规范》（办护字</w:t>
      </w:r>
      <w:r>
        <w:rPr>
          <w:rFonts w:hint="eastAsia" w:ascii="仿宋_GB2312" w:hAnsi="仿宋_GB2312" w:eastAsia="仿宋_GB2312" w:cs="仿宋_GB2312"/>
          <w:b w:val="0"/>
          <w:bCs w:val="0"/>
          <w:sz w:val="32"/>
          <w:szCs w:val="32"/>
          <w:lang w:eastAsia="zh-CN"/>
        </w:rPr>
        <w:t>〔2019〕129号</w:t>
      </w:r>
      <w:r>
        <w:rPr>
          <w:rFonts w:hint="eastAsia" w:ascii="仿宋_GB2312" w:hAnsi="仿宋_GB2312" w:eastAsia="仿宋_GB2312" w:cs="仿宋_GB2312"/>
          <w:b w:val="0"/>
          <w:bCs w:val="0"/>
          <w:sz w:val="32"/>
          <w:szCs w:val="32"/>
        </w:rPr>
        <w:t>），开展自然保护地勘界定标并建立</w:t>
      </w:r>
      <w:r>
        <w:rPr>
          <w:rFonts w:hint="eastAsia" w:ascii="仿宋_GB2312" w:hAnsi="仿宋_GB2312" w:eastAsia="仿宋_GB2312" w:cs="仿宋_GB2312"/>
          <w:b w:val="0"/>
          <w:bCs w:val="0"/>
          <w:sz w:val="32"/>
          <w:szCs w:val="32"/>
          <w:shd w:val="clear" w:color="auto"/>
        </w:rPr>
        <w:t>矢量数据库,</w:t>
      </w:r>
      <w:r>
        <w:rPr>
          <w:rFonts w:hint="eastAsia" w:ascii="仿宋_GB2312" w:hAnsi="仿宋_GB2312" w:eastAsia="仿宋_GB2312" w:cs="仿宋_GB2312"/>
          <w:b w:val="0"/>
          <w:bCs w:val="0"/>
          <w:sz w:val="32"/>
          <w:szCs w:val="32"/>
        </w:rPr>
        <w:t>确保与生态保护红线衔接。二是推进自然保护地分类保护、分级管理、分区管控和依法有效保护。三是加强自然保护地基础设施及信息化建设，建立全区自然保护地“一张图”。四是以自然恢复为主，辅以必要的人工措施，分区分类开展受损自然生态系统修复。建设生态廊道、开展重要栖息地恢复和废弃地修复。加强野外保护站点、巡护路网、应急救灾、森林防火，有害生物防治和疫源疫病防控等保护管理设施建设。</w:t>
      </w:r>
    </w:p>
    <w:p w14:paraId="36ACE6ED">
      <w:pPr>
        <w:pStyle w:val="4"/>
        <w:bidi w:val="0"/>
      </w:pPr>
      <w:bookmarkStart w:id="44" w:name="_Toc6139"/>
      <w:r>
        <w:rPr>
          <w:rFonts w:hint="eastAsia"/>
        </w:rPr>
        <w:t>（二）</w:t>
      </w:r>
      <w:bookmarkEnd w:id="44"/>
      <w:r>
        <w:rPr>
          <w:rFonts w:hint="eastAsia"/>
        </w:rPr>
        <w:t>深化国有林场改革</w:t>
      </w:r>
    </w:p>
    <w:p w14:paraId="61D6511C">
      <w:pPr>
        <w:pStyle w:val="7"/>
        <w:spacing w:line="600" w:lineRule="exact"/>
        <w:rPr>
          <w:b w:val="0"/>
          <w:bCs w:val="0"/>
        </w:rPr>
      </w:pPr>
      <w:r>
        <w:rPr>
          <w:rFonts w:hint="eastAsia"/>
          <w:b w:val="0"/>
          <w:bCs w:val="0"/>
        </w:rPr>
        <w:t>一是加强国有林场制度化、规范化管理，把“富美林场”建设与曾都区国有谢家寨产业发展、职工民生改善紧密结合，使场容整洁、环境优美，全面建设宜居、乐业、康养的“富美林场”，提高林场居民生活品质、提升林场整体形象与职工幸福感。二是加强国有林场基础设施建设。国有林场是重要生态保护区，随着森林蓄积量逐年增加，林内枯枝落叶、杂草等易燃物剧增，且林场面积大、战线长，火源管控难度大，防火基础设施落后，防火设施建设资金短缺，特别是森林防火信息化设施严重不足，难以有效应对森林防火事故的发生，给我区生态安全带来严重的安全隐患。“十四五”时期，我区将开展国有林场森林防火监测预警和巡护系统建设试点，涉及全区1个国有林场，建设森林防火监测预警和巡护系统建设防火总控室1个、视频监测点20个及其他辅助设施。项目建成后，为切实维护我区国有林场森林生态安全，提升国有林场治理能力和水平，全面巩固国有林场改革成果起到促进作用。</w:t>
      </w:r>
    </w:p>
    <w:p w14:paraId="1B279FF4">
      <w:pPr>
        <w:pStyle w:val="4"/>
        <w:bidi w:val="0"/>
      </w:pPr>
      <w:bookmarkStart w:id="45" w:name="_Toc5469"/>
      <w:r>
        <w:rPr>
          <w:rFonts w:hint="eastAsia"/>
        </w:rPr>
        <w:t>（三）全面推行林长制</w:t>
      </w:r>
      <w:bookmarkEnd w:id="45"/>
    </w:p>
    <w:p w14:paraId="3F8CB82A">
      <w:pPr>
        <w:pStyle w:val="7"/>
        <w:spacing w:line="600" w:lineRule="exact"/>
        <w:rPr>
          <w:rFonts w:hAnsi="仿宋_GB2312"/>
          <w:b w:val="0"/>
          <w:bCs w:val="0"/>
        </w:rPr>
      </w:pPr>
      <w:r>
        <w:rPr>
          <w:rFonts w:hint="eastAsia"/>
          <w:b w:val="0"/>
          <w:bCs w:val="0"/>
        </w:rPr>
        <w:t>全面落实党中央、国务院关于全面推行林长制的决策部署。一是在全区推行林长制，明确党政领</w:t>
      </w:r>
      <w:r>
        <w:rPr>
          <w:rFonts w:hint="eastAsia" w:hAnsi="仿宋_GB2312"/>
          <w:b w:val="0"/>
          <w:bCs w:val="0"/>
        </w:rPr>
        <w:t>导干部保护发展森林草原资源目标责任，坚持党委领导、部门联动，建立健全以党政领导负责制为核心的责任体系，设立区、镇、村三级林长机制，林长由各级党委或政府主要负责同志担任，实行分区（片）负责，区林业局承担林长制组织实施的具体工作，到2022年6月底全面建立林长制。二是坚持问题导向、因地制宜。针对不同区域森林生态系统保护管理的突出问题，坚持分类施策、科学管理、综合治理，宜林则林、宜草则草、宜荒则荒，全面提升森林资源的生态、经济、社会功能。三是科学确定林长责任区域。林长组织领导责任区域森林资源保护发展工作，落实保护发展森林资源目标责任制，将森林覆盖率、森林蓄积量、沙化土地治理面积等作为重要指标，因地制宜确定目标任务；组织制定森林资源保护发展规划计划，强化统筹治理，推动制度建设，完善责任机制；组织协调解决责任区域的重点难点问题，依法全面保护森林资源，推动生态保护修复，组织落实森林草原防灭火、重大有害生物防治责任和措施，强化森林行业行政执法。四是加强森林资源监测监管。充分利用现代信息技术手段，不断完善森林资源“一张图”、“一套数”动态监测体系，逐步建立重点区域实时监控网络，及时掌握资源动态变化，提高预警预报和查处问题的能力，提升森林资源保护发展智慧化管理水平。五是健全工作机制。建立健全林长会议制度、信息公开制度、部门协作制度、工作督查制度，研究森林资源保护发展中的重大问题，定期通报森林资源保护发展重点工作。六是接受社会监督。建立林长制信息发布平台，通过媒体向社会公告林长名单，在责任区域显著位置设置林长公示牌。加强生态文明宣传教育，增强社会公众生态保护意识，自觉爱绿植绿护绿。七是强化督导考核。林长制督导考核纳入林业综合督查检查考核范围，区级林长负责组织对镇级林长的考核，考核结果作为党政领导干部综合考核评价和自然资源资产离任审计的重要依据。落实党政领导干部生态环境损害责任终身追究制，对造成森林资源严重破坏的，严格按照有关规定追究责任</w:t>
      </w:r>
      <w:r>
        <w:rPr>
          <w:rFonts w:hint="eastAsia"/>
          <w:b w:val="0"/>
          <w:bCs w:val="0"/>
        </w:rPr>
        <w:t>。</w:t>
      </w:r>
    </w:p>
    <w:p w14:paraId="3AAEA397">
      <w:pPr>
        <w:pStyle w:val="4"/>
        <w:bidi w:val="0"/>
        <w:rPr>
          <w:rFonts w:hint="eastAsia"/>
        </w:rPr>
      </w:pPr>
      <w:r>
        <w:rPr>
          <w:rFonts w:hint="eastAsia"/>
        </w:rPr>
        <w:t>（四）创新林业金融机制</w:t>
      </w:r>
    </w:p>
    <w:p w14:paraId="519EFF64">
      <w:pPr>
        <w:pStyle w:val="7"/>
        <w:spacing w:line="600" w:lineRule="exact"/>
        <w:ind w:firstLine="573"/>
        <w:rPr>
          <w:b w:val="0"/>
          <w:bCs w:val="0"/>
          <w:lang w:val="zh-CN"/>
        </w:rPr>
      </w:pPr>
      <w:r>
        <w:rPr>
          <w:rFonts w:hint="eastAsia" w:ascii="仿宋_GB2312" w:hAnsi="仿宋_GB2312" w:eastAsia="仿宋_GB2312" w:cs="仿宋_GB2312"/>
          <w:b w:val="0"/>
          <w:bCs w:val="0"/>
        </w:rPr>
        <w:t>积极</w:t>
      </w:r>
      <w:r>
        <w:rPr>
          <w:rFonts w:hint="eastAsia" w:ascii="仿宋_GB2312" w:hAnsi="仿宋_GB2312" w:eastAsia="仿宋_GB2312" w:cs="仿宋_GB2312"/>
          <w:b w:val="0"/>
          <w:bCs w:val="0"/>
          <w:lang w:val="zh-CN"/>
        </w:rPr>
        <w:t>搭建</w:t>
      </w:r>
      <w:r>
        <w:rPr>
          <w:rFonts w:hint="eastAsia" w:ascii="仿宋_GB2312" w:hAnsi="仿宋_GB2312" w:eastAsia="仿宋_GB2312" w:cs="仿宋_GB2312"/>
          <w:b w:val="0"/>
          <w:bCs w:val="0"/>
        </w:rPr>
        <w:t>曾都</w:t>
      </w:r>
      <w:r>
        <w:rPr>
          <w:rFonts w:hint="eastAsia" w:ascii="仿宋_GB2312" w:hAnsi="仿宋_GB2312" w:eastAsia="仿宋_GB2312" w:cs="仿宋_GB2312"/>
          <w:b w:val="0"/>
          <w:bCs w:val="0"/>
          <w:lang w:val="zh-CN"/>
        </w:rPr>
        <w:t>林业投融资、担保平台，建成林业投融资、担保收储平台</w:t>
      </w:r>
      <w:r>
        <w:rPr>
          <w:rFonts w:hint="eastAsia" w:ascii="仿宋_GB2312" w:hAnsi="仿宋_GB2312" w:eastAsia="仿宋_GB2312" w:cs="仿宋_GB2312"/>
          <w:b w:val="0"/>
          <w:bCs w:val="0"/>
        </w:rPr>
        <w:t>1个</w:t>
      </w:r>
      <w:r>
        <w:rPr>
          <w:rFonts w:hint="eastAsia" w:ascii="仿宋_GB2312" w:hAnsi="仿宋_GB2312" w:eastAsia="仿宋_GB2312" w:cs="仿宋_GB2312"/>
          <w:b w:val="0"/>
          <w:bCs w:val="0"/>
          <w:lang w:val="zh-CN"/>
        </w:rPr>
        <w:t>，统筹整合财</w:t>
      </w:r>
      <w:r>
        <w:rPr>
          <w:rFonts w:hint="eastAsia"/>
          <w:b w:val="0"/>
          <w:bCs w:val="0"/>
          <w:lang w:val="zh-CN"/>
        </w:rPr>
        <w:t>政资金</w:t>
      </w:r>
      <w:r>
        <w:rPr>
          <w:rFonts w:hint="eastAsia"/>
          <w:b w:val="0"/>
          <w:bCs w:val="0"/>
        </w:rPr>
        <w:t>设立“绿水青山就是金山银山”林业发展基金，推广“林权抵押+政府授信”，支持企业、合作社、家庭农场、种植大户和农户发展林业产业、参与全区绿化重点工程及林产品精深加工、森林旅游康养基地建设等，政府给予贴息资金补助</w:t>
      </w:r>
      <w:r>
        <w:rPr>
          <w:rFonts w:hint="eastAsia"/>
          <w:b w:val="0"/>
          <w:bCs w:val="0"/>
          <w:lang w:val="zh-CN"/>
        </w:rPr>
        <w:t>。</w:t>
      </w:r>
      <w:r>
        <w:rPr>
          <w:rFonts w:hint="eastAsia"/>
          <w:b w:val="0"/>
          <w:bCs w:val="0"/>
        </w:rPr>
        <w:t>规范林地流转，</w:t>
      </w:r>
      <w:r>
        <w:rPr>
          <w:rFonts w:hint="eastAsia"/>
          <w:b w:val="0"/>
          <w:bCs w:val="0"/>
          <w:lang w:val="zh-CN"/>
        </w:rPr>
        <w:t>区公共资源交易平台要承担农村集体林地经营权、林木所有权和使用权流转交易职责，采取减免费用、政府购买服务等方式鼓励农户和其他林业经济主体拥有的林权到公共资源交易平台流转交易。支持社会化林业专业服务组织开展流转信息沟通、委托、评估等林权流转中介服务，引导和规范森林资源资产评估行为，为林地流转、林权抵押担保贷款创造条件。</w:t>
      </w:r>
    </w:p>
    <w:p w14:paraId="6BDBF3FB">
      <w:pPr>
        <w:pStyle w:val="3"/>
        <w:spacing w:line="600" w:lineRule="exact"/>
        <w:rPr>
          <w:b w:val="0"/>
          <w:bCs w:val="0"/>
        </w:rPr>
      </w:pPr>
      <w:bookmarkStart w:id="46" w:name="_Toc26645"/>
      <w:bookmarkStart w:id="47" w:name="_Toc27317"/>
      <w:r>
        <w:rPr>
          <w:rFonts w:hint="eastAsia"/>
          <w:b w:val="0"/>
          <w:bCs w:val="0"/>
        </w:rPr>
        <w:t>第</w:t>
      </w:r>
      <w:r>
        <w:rPr>
          <w:rFonts w:hint="eastAsia"/>
          <w:b w:val="0"/>
          <w:bCs w:val="0"/>
          <w:lang w:eastAsia="zh-CN"/>
        </w:rPr>
        <w:t>六</w:t>
      </w:r>
      <w:r>
        <w:rPr>
          <w:rFonts w:hint="eastAsia"/>
          <w:b w:val="0"/>
          <w:bCs w:val="0"/>
        </w:rPr>
        <w:t>章</w:t>
      </w:r>
      <w:r>
        <w:rPr>
          <w:rFonts w:hint="eastAsia"/>
          <w:b w:val="0"/>
          <w:bCs w:val="0"/>
          <w:lang w:val="en-US" w:eastAsia="zh-CN"/>
        </w:rPr>
        <w:t xml:space="preserve">  </w:t>
      </w:r>
      <w:r>
        <w:rPr>
          <w:rFonts w:hint="eastAsia"/>
          <w:b w:val="0"/>
          <w:bCs w:val="0"/>
        </w:rPr>
        <w:t>重点建设工程</w:t>
      </w:r>
      <w:bookmarkEnd w:id="46"/>
      <w:bookmarkEnd w:id="47"/>
    </w:p>
    <w:p w14:paraId="77494D57">
      <w:pPr>
        <w:pStyle w:val="2"/>
        <w:bidi w:val="0"/>
      </w:pPr>
      <w:bookmarkStart w:id="48" w:name="_Toc18687"/>
      <w:bookmarkStart w:id="49" w:name="_Toc15560"/>
      <w:r>
        <w:rPr>
          <w:rFonts w:hint="eastAsia"/>
        </w:rPr>
        <w:t>一、防护林工程</w:t>
      </w:r>
      <w:bookmarkEnd w:id="48"/>
      <w:bookmarkEnd w:id="49"/>
    </w:p>
    <w:p w14:paraId="71B30279">
      <w:pPr>
        <w:spacing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以府河沿线、河道沟渠两侧区域及重要饮用水源区、生态脆弱区为重点，因地制宜，适地适树，构筑生态防护屏障。以府河、何店、万店、南郊、北郊等镇办为重点，工程建设总规模4.6万亩（1万亩人工造林，3.6万亩封山育林）。</w:t>
      </w:r>
    </w:p>
    <w:p w14:paraId="1CB702D2">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项目总投资1720万元，其中申请中央和省级投资860万元，自筹860万元。</w:t>
      </w:r>
    </w:p>
    <w:p w14:paraId="63698126">
      <w:pPr>
        <w:pStyle w:val="2"/>
        <w:bidi w:val="0"/>
      </w:pPr>
      <w:bookmarkStart w:id="50" w:name="_Toc14554"/>
      <w:bookmarkStart w:id="51" w:name="_Toc240"/>
      <w:r>
        <w:rPr>
          <w:rFonts w:hint="eastAsia"/>
        </w:rPr>
        <w:t>二、森林乡村建设工程</w:t>
      </w:r>
      <w:bookmarkEnd w:id="50"/>
      <w:bookmarkEnd w:id="51"/>
    </w:p>
    <w:p w14:paraId="54ADBB73">
      <w:pPr>
        <w:spacing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按照“房前有景、屋后有林、四季有景”的要求，坚持“因地制宜，乔木为主，见缝植绿，应绿尽绿”的原则，结合美丽乡村建设，动员农民群众，以庭院绿化、村庄绿化、路渠绿化为主，开展森林乡村建设，切实有效改善农村生态环境和人居环境。新打造25个森林乡村。</w:t>
      </w:r>
    </w:p>
    <w:p w14:paraId="459FEE24">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项目总投资500万元，其中申请项目投资250万元，自筹250万元。</w:t>
      </w:r>
    </w:p>
    <w:p w14:paraId="2C2C15A2">
      <w:pPr>
        <w:pStyle w:val="2"/>
        <w:bidi w:val="0"/>
      </w:pPr>
      <w:bookmarkStart w:id="52" w:name="_Toc855"/>
      <w:bookmarkStart w:id="53" w:name="_Toc27100"/>
      <w:r>
        <w:rPr>
          <w:rFonts w:hint="eastAsia"/>
        </w:rPr>
        <w:t>三、森林抚育工程</w:t>
      </w:r>
      <w:bookmarkEnd w:id="52"/>
      <w:bookmarkEnd w:id="53"/>
    </w:p>
    <w:p w14:paraId="25210714">
      <w:pPr>
        <w:spacing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适应现</w:t>
      </w:r>
      <w:r>
        <w:rPr>
          <w:rFonts w:hint="eastAsia" w:ascii="仿宋_GB2312" w:hAnsi="仿宋_GB2312" w:eastAsia="仿宋_GB2312" w:cs="仿宋_GB2312"/>
          <w:b w:val="0"/>
          <w:bCs w:val="0"/>
          <w:sz w:val="32"/>
          <w:szCs w:val="32"/>
          <w:lang w:eastAsia="zh-CN"/>
        </w:rPr>
        <w:t>代</w:t>
      </w:r>
      <w:r>
        <w:rPr>
          <w:rFonts w:hint="eastAsia" w:ascii="仿宋_GB2312" w:hAnsi="仿宋_GB2312" w:eastAsia="仿宋_GB2312" w:cs="仿宋_GB2312"/>
          <w:b w:val="0"/>
          <w:bCs w:val="0"/>
          <w:sz w:val="32"/>
          <w:szCs w:val="32"/>
        </w:rPr>
        <w:t>林业建设要求，调整和优化森林结构，提高林地产出率，促进新农村建设和社会可持续发展。坚持生态优先，经济、生态、社会三大效益相结合的原则，因地制宜、适地适树（适品种、适品系、适种源），对因受人为和自然因素的影响，经济效益、生态效益和明显低于同类立地条件平均水平的林分进行优化改造和高效利用。规划实施中幼林抚育5年累计完成5万亩，中幼林抚育在全区范围内实施。</w:t>
      </w:r>
    </w:p>
    <w:p w14:paraId="7F294C45">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项目总投资 815万元，其中申请项目投资500万元，自筹315万元。</w:t>
      </w:r>
    </w:p>
    <w:p w14:paraId="697310C3">
      <w:pPr>
        <w:pStyle w:val="2"/>
        <w:bidi w:val="0"/>
      </w:pPr>
      <w:bookmarkStart w:id="54" w:name="_Toc8527"/>
      <w:bookmarkStart w:id="55" w:name="_Toc8245"/>
      <w:r>
        <w:rPr>
          <w:rFonts w:hint="eastAsia"/>
        </w:rPr>
        <w:t>四、退化林修复</w:t>
      </w:r>
      <w:bookmarkEnd w:id="54"/>
      <w:r>
        <w:rPr>
          <w:rFonts w:hint="eastAsia"/>
        </w:rPr>
        <w:t>工程</w:t>
      </w:r>
      <w:bookmarkEnd w:id="55"/>
    </w:p>
    <w:p w14:paraId="38D1D44C">
      <w:pPr>
        <w:spacing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对由于自然、人为等因素形成的退化林地综合运用抚育、补植补造、林下更新、调整、封育等措施，清除死亡、林业有害生物危害和无培育价值的林木，调整林分树种结构、层次结构和林分密度，增强林分稳定性，改善林分环境，提高林分生态防护功能。建设规模2万亩。</w:t>
      </w:r>
    </w:p>
    <w:p w14:paraId="5902CB08">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项目总投资 2000万元，其中申请项目投资1000万元，自筹1000万元。</w:t>
      </w:r>
    </w:p>
    <w:p w14:paraId="5FE7785B">
      <w:pPr>
        <w:pStyle w:val="2"/>
        <w:bidi w:val="0"/>
      </w:pPr>
      <w:bookmarkStart w:id="56" w:name="_Toc30471"/>
      <w:bookmarkStart w:id="57" w:name="_Toc27466"/>
      <w:r>
        <w:rPr>
          <w:rFonts w:hint="eastAsia"/>
        </w:rPr>
        <w:t>五、曾都区林木种质资源库建设</w:t>
      </w:r>
      <w:bookmarkEnd w:id="56"/>
      <w:bookmarkEnd w:id="57"/>
    </w:p>
    <w:p w14:paraId="75649768">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林木种质资源是遗传多样性的载体，是良种选育和遗传改良的重要物质基础，既关系到生态安全和可持续发展，也是林业生产力发展的基础性和战略性资源。曾都区洛阳银杏种质资源以丰富的银杏古树为载体，更具有“活化石”、“活文物”价值。2020年，曾都区洛阳银杏种质资源成功入选湖北省第一批省级林木种质资源库名单，命名为：曾都区林业种苗站古银杏群省级林木种质资源库。“十四五”期间，曾都区洛阳银杏种质资源库将申报国家级林木种质资源库，并将开展种质资源库建设项目。建设总规模1000公顷，其中核心区面积691.5公顷，古银杏种质保存份数1197份。该项目核心区建立在千年银杏谷景区，项目建成后，将为银杏观赏和旅游开发提供物质基础，而旅游发展又可反哺种质资源库建设，二者相得益彰。</w:t>
      </w:r>
    </w:p>
    <w:p w14:paraId="2179BC16">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项目总投资1200万元，其中申请中央投资800万元，自筹400万元。</w:t>
      </w:r>
    </w:p>
    <w:p w14:paraId="2DAFD72F">
      <w:pPr>
        <w:pStyle w:val="2"/>
        <w:bidi w:val="0"/>
        <w:rPr>
          <w:rFonts w:hint="eastAsia"/>
        </w:rPr>
      </w:pPr>
      <w:bookmarkStart w:id="58" w:name="_Toc18842"/>
      <w:bookmarkStart w:id="59" w:name="_Toc8432"/>
      <w:r>
        <w:rPr>
          <w:rFonts w:hint="eastAsia"/>
        </w:rPr>
        <w:t>六、</w:t>
      </w:r>
      <w:bookmarkEnd w:id="58"/>
      <w:r>
        <w:rPr>
          <w:rFonts w:hint="eastAsia"/>
        </w:rPr>
        <w:t>林业有害生物防治</w:t>
      </w:r>
      <w:bookmarkEnd w:id="59"/>
    </w:p>
    <w:p w14:paraId="29C980A3">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加强林业有害生物防治的基础设备、设施建设；加强基层专业技术人员培训，强化专业队伍力量；建立健全以预测预报、检疫、防治为基础的林业有害生物防治体系。</w:t>
      </w:r>
    </w:p>
    <w:p w14:paraId="621D8D49">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综合防治松材线虫病面积5万亩。完成疫木清理任务；人工释放天敌，化学防治松褐天牛。</w:t>
      </w:r>
    </w:p>
    <w:p w14:paraId="359E67E3">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项目总投资3000万元，其中申请中央和省级投资3000万元。</w:t>
      </w:r>
    </w:p>
    <w:p w14:paraId="0898488B">
      <w:pPr>
        <w:pStyle w:val="2"/>
        <w:bidi w:val="0"/>
      </w:pPr>
      <w:bookmarkStart w:id="60" w:name="_Toc1917"/>
      <w:r>
        <w:rPr>
          <w:rFonts w:hint="eastAsia"/>
        </w:rPr>
        <w:t>七、森林防火</w:t>
      </w:r>
      <w:r>
        <w:rPr>
          <w:rFonts w:hint="eastAsia"/>
          <w:lang w:eastAsia="zh-CN"/>
        </w:rPr>
        <w:t>、野生动物栖息地</w:t>
      </w:r>
      <w:r>
        <w:rPr>
          <w:rFonts w:hint="eastAsia"/>
        </w:rPr>
        <w:t>视频监控系统建设</w:t>
      </w:r>
      <w:bookmarkEnd w:id="60"/>
      <w:bookmarkStart w:id="61" w:name="_Toc16091"/>
    </w:p>
    <w:p w14:paraId="353A4386">
      <w:pPr>
        <w:spacing w:line="600" w:lineRule="exact"/>
        <w:ind w:firstLine="672" w:firstLineChars="200"/>
        <w:rPr>
          <w:rFonts w:hint="eastAsia" w:ascii="仿宋_GB2312" w:hAnsi="仿宋_GB2312" w:eastAsia="仿宋_GB2312" w:cs="仿宋_GB2312"/>
          <w:i w:val="0"/>
          <w:caps w:val="0"/>
          <w:color w:val="auto"/>
          <w:spacing w:val="8"/>
          <w:sz w:val="32"/>
          <w:szCs w:val="32"/>
          <w:shd w:val="clear" w:fill="FFFFFF"/>
          <w:lang w:eastAsia="zh-CN"/>
        </w:rPr>
      </w:pPr>
      <w:r>
        <w:rPr>
          <w:rFonts w:hint="eastAsia" w:ascii="仿宋_GB2312" w:hAnsi="仿宋_GB2312" w:eastAsia="仿宋_GB2312" w:cs="仿宋_GB2312"/>
          <w:i w:val="0"/>
          <w:caps w:val="0"/>
          <w:color w:val="auto"/>
          <w:spacing w:val="8"/>
          <w:sz w:val="32"/>
          <w:szCs w:val="32"/>
          <w:shd w:val="clear" w:fill="FFFFFF"/>
        </w:rPr>
        <w:t>在前端利用视频监控技术结合智能化的烟火识别技术，对范围内的森林资源进行监测，通过智能化的森林防火预警手段，实时监看和记录森林资源情况，完成对森林资源的火灾监测和报警，辅助森林防火监测人员完成对森林资源的自动监测</w:t>
      </w:r>
      <w:r>
        <w:rPr>
          <w:rFonts w:hint="eastAsia" w:ascii="仿宋_GB2312" w:hAnsi="仿宋_GB2312" w:eastAsia="仿宋_GB2312" w:cs="仿宋_GB2312"/>
          <w:i w:val="0"/>
          <w:caps w:val="0"/>
          <w:color w:val="auto"/>
          <w:spacing w:val="8"/>
          <w:sz w:val="32"/>
          <w:szCs w:val="32"/>
          <w:shd w:val="clear" w:fill="FFFFFF"/>
          <w:lang w:eastAsia="zh-CN"/>
        </w:rPr>
        <w:t>。</w:t>
      </w:r>
    </w:p>
    <w:p w14:paraId="3FF28742">
      <w:pPr>
        <w:spacing w:line="600" w:lineRule="exact"/>
        <w:ind w:firstLine="672" w:firstLineChars="2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i w:val="0"/>
          <w:caps w:val="0"/>
          <w:color w:val="auto"/>
          <w:spacing w:val="8"/>
          <w:sz w:val="32"/>
          <w:szCs w:val="32"/>
          <w:shd w:val="clear" w:fill="FFFFFF"/>
        </w:rPr>
        <w:t>在</w:t>
      </w:r>
      <w:r>
        <w:rPr>
          <w:rFonts w:hint="eastAsia" w:ascii="仿宋_GB2312" w:hAnsi="仿宋_GB2312" w:eastAsia="仿宋_GB2312" w:cs="仿宋_GB2312"/>
          <w:i w:val="0"/>
          <w:caps w:val="0"/>
          <w:color w:val="auto"/>
          <w:spacing w:val="8"/>
          <w:sz w:val="32"/>
          <w:szCs w:val="32"/>
          <w:shd w:val="clear" w:fill="FFFFFF"/>
          <w:lang w:eastAsia="zh-CN"/>
        </w:rPr>
        <w:t>洛阳白鹭</w:t>
      </w:r>
      <w:r>
        <w:rPr>
          <w:rFonts w:hint="eastAsia" w:ascii="仿宋_GB2312" w:hAnsi="仿宋_GB2312" w:eastAsia="仿宋_GB2312" w:cs="仿宋_GB2312"/>
          <w:i w:val="0"/>
          <w:caps w:val="0"/>
          <w:color w:val="auto"/>
          <w:spacing w:val="8"/>
          <w:sz w:val="32"/>
          <w:szCs w:val="32"/>
          <w:shd w:val="clear" w:fill="FFFFFF"/>
        </w:rPr>
        <w:t>野生动物栖息地、盗猎案件多发地段等区域逐步安装视频监控、红外相机等技防设施。</w:t>
      </w:r>
    </w:p>
    <w:p w14:paraId="0068C177">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项目总投资6000万元，其中申请中央和省级投资6000万元。</w:t>
      </w:r>
    </w:p>
    <w:p w14:paraId="5EFBD633">
      <w:pPr>
        <w:pStyle w:val="2"/>
        <w:bidi w:val="0"/>
      </w:pPr>
      <w:bookmarkStart w:id="62" w:name="_Toc6341"/>
      <w:r>
        <w:rPr>
          <w:rFonts w:hint="eastAsia"/>
        </w:rPr>
        <w:t>八、自然保护地基础设施及信息化建设</w:t>
      </w:r>
      <w:bookmarkEnd w:id="61"/>
      <w:bookmarkEnd w:id="62"/>
    </w:p>
    <w:p w14:paraId="14E28866">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以自然恢复为主，辅以必要的人工措施，分区分类开展受损自然生态系统修复。建设生态廊道、开展重要栖息地恢复和废弃地修复。加强野外保护站点、巡护路网、应急救灾、森林防火，有害生物防治和疫源疫病防控等保护管理设施建设，利用高科技手段和现代化设备促进自然保育、巡护和监测的信息化、智能化。以及与之相配备的管理队伍的技术装备，安装森林防火智能监测系统（包括铁塔、摄像系统、视频终端软件平台等），逐步实现规范化和标准化，该项目以国家投资为主。</w:t>
      </w:r>
    </w:p>
    <w:p w14:paraId="4C0DBAB0">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项目总投资90000万元，其中申请国家投资80000万元，自筹10000万元。</w:t>
      </w:r>
    </w:p>
    <w:p w14:paraId="05D6D43D">
      <w:pPr>
        <w:pStyle w:val="2"/>
        <w:bidi w:val="0"/>
      </w:pPr>
      <w:bookmarkStart w:id="63" w:name="_Toc8087"/>
      <w:bookmarkStart w:id="64" w:name="_Toc17359"/>
      <w:r>
        <w:rPr>
          <w:rFonts w:hint="eastAsia"/>
        </w:rPr>
        <w:t>九、神农国家油茶公园</w:t>
      </w:r>
      <w:bookmarkEnd w:id="63"/>
      <w:bookmarkEnd w:id="64"/>
    </w:p>
    <w:p w14:paraId="6A9309EC">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计划建设面积30000亩：国家油茶北部种植示范基地2000亩、油茶种植示范基地20000亩、油茶及副产品科研中心100亩、油茶博物馆60亩、园区接待中心30亩、油茶及副产品精深加工生产中心300亩、油茶及生态农副产品交易及电商交易中心300亩、养生度假康养、民宿等中心36处、水上嘉年华、农耕文化体验区1000亩、水上游艇码头、观光休闲平台、直升机观光平台、山地自行车赛道、北京大学新世纪教育集团产学研基地500亩、相关的基础设施。</w:t>
      </w:r>
    </w:p>
    <w:p w14:paraId="5537DB6F">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项目总投资60000万元，申请国家投资52000万元，自筹8000万元。</w:t>
      </w:r>
    </w:p>
    <w:p w14:paraId="1FB3CC50">
      <w:pPr>
        <w:pStyle w:val="2"/>
        <w:bidi w:val="0"/>
      </w:pPr>
      <w:bookmarkStart w:id="65" w:name="_Toc23808"/>
      <w:bookmarkStart w:id="66" w:name="_Toc26007"/>
      <w:r>
        <w:rPr>
          <w:rFonts w:hint="eastAsia"/>
        </w:rPr>
        <w:t>十、曾都区古银杏国家森林康养基地</w:t>
      </w:r>
      <w:bookmarkEnd w:id="65"/>
      <w:bookmarkEnd w:id="66"/>
    </w:p>
    <w:p w14:paraId="12D0BAD0">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依托“湖北随州银杏省级森林公园”，加快推进申报“随州银杏国家级森林公园”。该项工作</w:t>
      </w:r>
      <w:r>
        <w:rPr>
          <w:rFonts w:hint="eastAsia" w:ascii="仿宋_GB2312" w:hAnsi="仿宋_GB2312" w:eastAsia="仿宋_GB2312" w:cs="仿宋_GB2312"/>
          <w:b w:val="0"/>
          <w:bCs w:val="0"/>
          <w:sz w:val="32"/>
          <w:szCs w:val="32"/>
          <w:lang w:eastAsia="zh-CN"/>
        </w:rPr>
        <w:t>力争</w:t>
      </w:r>
      <w:r>
        <w:rPr>
          <w:rFonts w:hint="eastAsia" w:ascii="仿宋_GB2312" w:hAnsi="仿宋_GB2312" w:eastAsia="仿宋_GB2312" w:cs="仿宋_GB2312"/>
          <w:b w:val="0"/>
          <w:bCs w:val="0"/>
          <w:sz w:val="32"/>
          <w:szCs w:val="32"/>
        </w:rPr>
        <w:t>在2025年底完成，利用区域自然景观洛阳银杏森林公园、随州市随城山省级森林公园、府河现光山等其他休闲养生资源挖掘开发旅游资源，改造森林景观，建设森林康养步道和林间康养休憩场所，利用林区现有建筑和建设用地，建设住宿、餐饮、活动等森林康养基础设施，建设森林康养医院，探索森林康养与中医药保健服务相结合的合作模式，发挥森林康养在替代医学和康复医学中的作用，加强自然保护地基础设施建设，加强旅游服务队伍建设，打造森林旅游精品线路，发展民俗文化、保护森林环境、推广农林产品，融合一二三产业发展森林康养。</w:t>
      </w:r>
    </w:p>
    <w:p w14:paraId="7F010B9D">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项目总投资50000万元，申请国家投资20000万元，自筹30000万元。</w:t>
      </w:r>
    </w:p>
    <w:p w14:paraId="0CA52166">
      <w:pPr>
        <w:pStyle w:val="2"/>
        <w:bidi w:val="0"/>
      </w:pPr>
      <w:bookmarkStart w:id="67" w:name="_Toc23989"/>
      <w:bookmarkStart w:id="68" w:name="_Toc19744"/>
      <w:r>
        <w:rPr>
          <w:rFonts w:hint="eastAsia"/>
        </w:rPr>
        <w:t>十一、油茶低产低效林改造</w:t>
      </w:r>
      <w:bookmarkEnd w:id="67"/>
    </w:p>
    <w:p w14:paraId="224ED288">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shd w:val="clear"/>
          <w:lang w:val="en-US" w:eastAsia="zh-CN"/>
        </w:rPr>
        <w:t>2021年至2025年</w:t>
      </w:r>
      <w:r>
        <w:rPr>
          <w:rFonts w:hint="eastAsia" w:ascii="仿宋_GB2312" w:hAnsi="仿宋_GB2312" w:eastAsia="仿宋_GB2312" w:cs="仿宋_GB2312"/>
          <w:b w:val="0"/>
          <w:bCs w:val="0"/>
          <w:sz w:val="32"/>
          <w:szCs w:val="32"/>
          <w:shd w:val="clear"/>
        </w:rPr>
        <w:t>项目建设</w:t>
      </w:r>
      <w:r>
        <w:rPr>
          <w:rFonts w:hint="eastAsia" w:ascii="仿宋_GB2312" w:hAnsi="仿宋_GB2312" w:eastAsia="仿宋_GB2312" w:cs="仿宋_GB2312"/>
          <w:b w:val="0"/>
          <w:bCs w:val="0"/>
          <w:sz w:val="32"/>
          <w:szCs w:val="32"/>
          <w:shd w:val="clear"/>
          <w:lang w:val="en-US" w:eastAsia="zh-CN"/>
        </w:rPr>
        <w:t>20000</w:t>
      </w:r>
      <w:r>
        <w:rPr>
          <w:rFonts w:hint="eastAsia" w:ascii="仿宋_GB2312" w:hAnsi="仿宋_GB2312" w:eastAsia="仿宋_GB2312" w:cs="仿宋_GB2312"/>
          <w:b w:val="0"/>
          <w:bCs w:val="0"/>
          <w:sz w:val="32"/>
          <w:szCs w:val="32"/>
          <w:shd w:val="clear"/>
        </w:rPr>
        <w:t>亩。</w:t>
      </w:r>
      <w:r>
        <w:rPr>
          <w:rFonts w:hint="eastAsia" w:ascii="仿宋_GB2312" w:hAnsi="仿宋_GB2312" w:eastAsia="仿宋_GB2312" w:cs="仿宋_GB2312"/>
          <w:b w:val="0"/>
          <w:bCs w:val="0"/>
          <w:sz w:val="32"/>
          <w:szCs w:val="32"/>
        </w:rPr>
        <w:t>采取清理林地、密林疏伐、整枝修剪、垦复深挖、蓄水保土、合理施肥、稀林补密、更换劣株、立体经营、防治病虫害、引蜂授粉和适时采收等措施，来改善油茶林生产状况，提高油茶的产出，实现长效的增产增收。</w:t>
      </w:r>
    </w:p>
    <w:p w14:paraId="2F71926C">
      <w:pPr>
        <w:spacing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项目总投资</w:t>
      </w: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rPr>
        <w:t>000万元，申请国家投资</w:t>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000万元，自筹</w:t>
      </w: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0000万元。</w:t>
      </w:r>
    </w:p>
    <w:p w14:paraId="40375362">
      <w:pPr>
        <w:pStyle w:val="2"/>
        <w:bidi w:val="0"/>
        <w:rPr>
          <w:rFonts w:hint="eastAsia"/>
          <w:lang w:eastAsia="zh-CN"/>
        </w:rPr>
      </w:pPr>
      <w:bookmarkStart w:id="69" w:name="_Toc25900"/>
      <w:r>
        <w:rPr>
          <w:rFonts w:hint="eastAsia"/>
          <w:lang w:eastAsia="zh-CN"/>
        </w:rPr>
        <w:t>十二、曾都国际银杏康养谷</w:t>
      </w:r>
      <w:bookmarkEnd w:id="69"/>
    </w:p>
    <w:p w14:paraId="046CA9C5">
      <w:pPr>
        <w:pStyle w:val="13"/>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在洛阳镇全域打造“一谷十区百院千家万户工程”，一谷——随州曾都国际银杏康养谷（特色田园综合体，中国社区共享农场，三生产业；十区——选洛阳镇的十个村，打造十个各具特色的景区（如十个民族特色村），逐步形成康养特色小镇；百院——打造银杏山居特色院落，每院约30个康养房。</w:t>
      </w:r>
    </w:p>
    <w:p w14:paraId="772784B4">
      <w:pPr>
        <w:pStyle w:val="13"/>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rPr>
      </w:pPr>
      <w:r>
        <w:rPr>
          <w:rFonts w:hint="eastAsia"/>
        </w:rPr>
        <w:t>项目总投资</w:t>
      </w:r>
      <w:r>
        <w:rPr>
          <w:rFonts w:hint="eastAsia"/>
          <w:lang w:val="en-US" w:eastAsia="zh-CN"/>
        </w:rPr>
        <w:t>100</w:t>
      </w:r>
      <w:r>
        <w:rPr>
          <w:rFonts w:hint="eastAsia"/>
        </w:rPr>
        <w:t>000万元。</w:t>
      </w:r>
    </w:p>
    <w:p w14:paraId="629550DE">
      <w:pPr>
        <w:pStyle w:val="2"/>
        <w:rPr>
          <w:rFonts w:hint="eastAsia" w:eastAsia="仿宋_GB2312"/>
          <w:lang w:eastAsia="zh-CN"/>
        </w:rPr>
      </w:pPr>
      <w:bookmarkStart w:id="70" w:name="_Toc9910"/>
      <w:r>
        <w:rPr>
          <w:rFonts w:hint="eastAsia" w:eastAsia="仿宋_GB2312"/>
          <w:lang w:eastAsia="zh-CN"/>
        </w:rPr>
        <w:t>十三、十九山生态文化旅游康养</w:t>
      </w:r>
      <w:bookmarkEnd w:id="70"/>
    </w:p>
    <w:p w14:paraId="0C7AEED7">
      <w:pPr>
        <w:pStyle w:val="13"/>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lang w:eastAsia="zh-CN"/>
        </w:rPr>
      </w:pPr>
      <w:r>
        <w:rPr>
          <w:rFonts w:hint="eastAsia"/>
          <w:lang w:eastAsia="zh-CN"/>
        </w:rPr>
        <w:t>利用谢店村的生态优势，形成生态文化旅游区，与千年银杏谷一起共同打造国家5A级旅游景区，森林氧吧，为规模化生态养生奠定基础。</w:t>
      </w:r>
    </w:p>
    <w:p w14:paraId="03C8BD79">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项目总投资</w:t>
      </w:r>
      <w:r>
        <w:rPr>
          <w:rFonts w:hint="eastAsia" w:ascii="仿宋_GB2312" w:hAnsi="仿宋_GB2312" w:eastAsia="仿宋_GB2312" w:cs="仿宋_GB2312"/>
          <w:b w:val="0"/>
          <w:bCs w:val="0"/>
          <w:sz w:val="32"/>
          <w:szCs w:val="32"/>
          <w:lang w:val="en-US" w:eastAsia="zh-CN"/>
        </w:rPr>
        <w:t>30</w:t>
      </w:r>
      <w:r>
        <w:rPr>
          <w:rFonts w:hint="eastAsia" w:ascii="仿宋_GB2312" w:hAnsi="仿宋_GB2312" w:eastAsia="仿宋_GB2312" w:cs="仿宋_GB2312"/>
          <w:b w:val="0"/>
          <w:bCs w:val="0"/>
          <w:sz w:val="32"/>
          <w:szCs w:val="32"/>
        </w:rPr>
        <w:t>000万元。</w:t>
      </w:r>
    </w:p>
    <w:p w14:paraId="684921FE">
      <w:pPr>
        <w:pStyle w:val="2"/>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lang w:eastAsia="zh-CN"/>
        </w:rPr>
      </w:pPr>
      <w:bookmarkStart w:id="71" w:name="_Toc15418"/>
      <w:r>
        <w:rPr>
          <w:rFonts w:hint="eastAsia"/>
          <w:lang w:eastAsia="zh-CN"/>
        </w:rPr>
        <w:t>十四、随州市凯达实业森林康养基地项目</w:t>
      </w:r>
      <w:bookmarkEnd w:id="71"/>
    </w:p>
    <w:p w14:paraId="28278E95">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 按“一山一主题、一坡一景色、一院一文化”的规划建立起步为3A级的森林风景区。</w:t>
      </w:r>
    </w:p>
    <w:p w14:paraId="5A8F4D11">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项目总投资</w:t>
      </w:r>
      <w:r>
        <w:rPr>
          <w:rFonts w:hint="eastAsia" w:ascii="仿宋_GB2312" w:hAnsi="仿宋_GB2312" w:eastAsia="仿宋_GB2312" w:cs="仿宋_GB2312"/>
          <w:b w:val="0"/>
          <w:bCs w:val="0"/>
          <w:sz w:val="32"/>
          <w:szCs w:val="32"/>
          <w:lang w:val="en-US" w:eastAsia="zh-CN"/>
        </w:rPr>
        <w:t>46</w:t>
      </w:r>
      <w:r>
        <w:rPr>
          <w:rFonts w:hint="eastAsia" w:ascii="仿宋_GB2312" w:hAnsi="仿宋_GB2312" w:eastAsia="仿宋_GB2312" w:cs="仿宋_GB2312"/>
          <w:b w:val="0"/>
          <w:bCs w:val="0"/>
          <w:sz w:val="32"/>
          <w:szCs w:val="32"/>
        </w:rPr>
        <w:t>000万元。</w:t>
      </w:r>
    </w:p>
    <w:p w14:paraId="0F2A5B33">
      <w:pPr>
        <w:pStyle w:val="3"/>
        <w:spacing w:line="600" w:lineRule="exact"/>
        <w:rPr>
          <w:b w:val="0"/>
          <w:bCs w:val="0"/>
        </w:rPr>
      </w:pPr>
      <w:bookmarkStart w:id="72" w:name="_Toc1915"/>
      <w:r>
        <w:rPr>
          <w:rFonts w:hint="eastAsia"/>
          <w:b w:val="0"/>
          <w:bCs w:val="0"/>
        </w:rPr>
        <w:t>第</w:t>
      </w:r>
      <w:r>
        <w:rPr>
          <w:rFonts w:hint="eastAsia"/>
          <w:b w:val="0"/>
          <w:bCs w:val="0"/>
          <w:lang w:eastAsia="zh-CN"/>
        </w:rPr>
        <w:t>七</w:t>
      </w:r>
      <w:r>
        <w:rPr>
          <w:rFonts w:hint="eastAsia"/>
          <w:b w:val="0"/>
          <w:bCs w:val="0"/>
        </w:rPr>
        <w:t>章</w:t>
      </w:r>
      <w:r>
        <w:rPr>
          <w:rFonts w:hint="eastAsia"/>
          <w:b w:val="0"/>
          <w:bCs w:val="0"/>
          <w:lang w:val="en-US" w:eastAsia="zh-CN"/>
        </w:rPr>
        <w:t xml:space="preserve">  </w:t>
      </w:r>
      <w:r>
        <w:rPr>
          <w:rFonts w:hint="eastAsia"/>
          <w:b w:val="0"/>
          <w:bCs w:val="0"/>
        </w:rPr>
        <w:t>保障措施</w:t>
      </w:r>
      <w:bookmarkEnd w:id="68"/>
      <w:bookmarkEnd w:id="72"/>
    </w:p>
    <w:p w14:paraId="29F861DF">
      <w:pPr>
        <w:pStyle w:val="2"/>
        <w:bidi w:val="0"/>
      </w:pPr>
      <w:bookmarkStart w:id="73" w:name="_Toc29630"/>
      <w:bookmarkStart w:id="74" w:name="_Toc4441"/>
      <w:r>
        <w:rPr>
          <w:rFonts w:hint="eastAsia"/>
        </w:rPr>
        <w:t>一、广泛宣传,提高认识</w:t>
      </w:r>
      <w:bookmarkEnd w:id="73"/>
    </w:p>
    <w:p w14:paraId="01CC80E1">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努力开创林业发展的新局面。要运用各种媒介广泛宣传林业各种政策、法律法规，进一步提高全社会对林业的认识，增强社会各界生态保护意识、尊重自然、保护自然观念，营造全社会参与林业生态建设的良好氛围。</w:t>
      </w:r>
    </w:p>
    <w:p w14:paraId="787C1216">
      <w:pPr>
        <w:pStyle w:val="2"/>
        <w:bidi w:val="0"/>
      </w:pPr>
      <w:bookmarkStart w:id="75" w:name="_Toc12433"/>
      <w:r>
        <w:rPr>
          <w:rFonts w:hint="eastAsia"/>
        </w:rPr>
        <w:t>二、</w:t>
      </w:r>
      <w:r>
        <w:t>完善林业投入体系</w:t>
      </w:r>
      <w:bookmarkEnd w:id="75"/>
    </w:p>
    <w:p w14:paraId="372D1543">
      <w:pPr>
        <w:pStyle w:val="6"/>
        <w:spacing w:before="1" w:line="600" w:lineRule="exact"/>
        <w:ind w:right="-88"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建立以政府投入为主的稳定的林业投入体系，按照“政府主导、社会参与</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的原则，合理安排公共财政投入。将森林防火、林业有害生物防治经费纳入财政预算，落实专项经费，对林业生态建设重点工程实行财政预算。对非重点林业生态建设，政府也应在资金投入上实行优惠政策，对营造林给予补助。积极探索实行以奖代补、以工代赈、贷款贴息、购买服务、以地换绿等多种方式新林业发展模式，推进造林、抚育、管护等任务由各类社会主体承担。改善林业投资和经营环境，引导国企、民企、外企、集体、个人、社会组织等各方面资金投入，广泛吸纳国内外社会各界资金注入到林业生产建设中。</w:t>
      </w:r>
    </w:p>
    <w:p w14:paraId="3BE8938E">
      <w:pPr>
        <w:pStyle w:val="6"/>
        <w:spacing w:before="1" w:line="600" w:lineRule="exact"/>
        <w:ind w:right="-88"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进一步完善林业信贷资金扶持政策，加大对林业企业的信贷资金使用力度，鼓励众多林业企业更多更好使用林业信贷资金，进一步开展森林保险、林权抵押等林业投融资服务，进一步激发林业经济活力， 促进林业稳步发展。财政部门及林权收储中心等相关单位应进一步完善资金的管理制度，规范各项工程的资金使用，加强监督管理，推动现代林业科学健康可持续发展。</w:t>
      </w:r>
    </w:p>
    <w:p w14:paraId="2CDEEEEF">
      <w:pPr>
        <w:pStyle w:val="2"/>
        <w:bidi w:val="0"/>
      </w:pPr>
      <w:bookmarkStart w:id="76" w:name="_Toc29239"/>
      <w:r>
        <w:rPr>
          <w:rFonts w:hint="eastAsia"/>
        </w:rPr>
        <w:t>三、</w:t>
      </w:r>
      <w:r>
        <w:t>坚持</w:t>
      </w:r>
      <w:r>
        <w:rPr>
          <w:rFonts w:hint="eastAsia"/>
        </w:rPr>
        <w:t>依靠</w:t>
      </w:r>
      <w:r>
        <w:t>科技兴林</w:t>
      </w:r>
      <w:bookmarkEnd w:id="76"/>
    </w:p>
    <w:p w14:paraId="06092C20">
      <w:pPr>
        <w:spacing w:line="600" w:lineRule="exact"/>
        <w:ind w:firstLine="640" w:firstLineChars="200"/>
        <w:rPr>
          <w:b w:val="0"/>
          <w:bCs w:val="0"/>
        </w:rPr>
      </w:pPr>
      <w:r>
        <w:rPr>
          <w:rFonts w:hint="eastAsia" w:ascii="仿宋_GB2312" w:hAnsi="仿宋_GB2312" w:eastAsia="仿宋_GB2312" w:cs="仿宋_GB2312"/>
          <w:b w:val="0"/>
          <w:bCs w:val="0"/>
          <w:sz w:val="32"/>
          <w:szCs w:val="32"/>
        </w:rPr>
        <w:t>一是推广普及实用技术。区林业技术推广站组织林业技术服务专家团，选聘技术过硬、责任心强的</w:t>
      </w:r>
      <w:r>
        <w:rPr>
          <w:rFonts w:hint="eastAsia" w:ascii="仿宋_GB2312" w:hAnsi="仿宋_GB2312" w:eastAsia="仿宋_GB2312" w:cs="仿宋_GB2312"/>
          <w:b w:val="0"/>
          <w:bCs w:val="0"/>
          <w:sz w:val="32"/>
          <w:szCs w:val="32"/>
          <w:lang w:eastAsia="zh-CN"/>
        </w:rPr>
        <w:t>专职人员</w:t>
      </w:r>
      <w:r>
        <w:rPr>
          <w:rFonts w:hint="eastAsia" w:ascii="仿宋_GB2312" w:hAnsi="仿宋_GB2312" w:eastAsia="仿宋_GB2312" w:cs="仿宋_GB2312"/>
          <w:b w:val="0"/>
          <w:bCs w:val="0"/>
          <w:sz w:val="32"/>
          <w:szCs w:val="32"/>
        </w:rPr>
        <w:t>，常年分片服务，通过科技下乡、技术培训、专家服务、技术咨询，推广香菇、油茶、林果新品，让林农掌握栽培技术、病虫防治技能，建立“协会—土专家—技术骨干—农户”服务体系；产学研结合。</w:t>
      </w:r>
    </w:p>
    <w:p w14:paraId="62D25D10">
      <w:pPr>
        <w:pStyle w:val="7"/>
        <w:spacing w:line="600" w:lineRule="exact"/>
        <w:ind w:firstLine="573"/>
        <w:rPr>
          <w:b w:val="0"/>
          <w:bCs w:val="0"/>
        </w:rPr>
      </w:pPr>
      <w:r>
        <w:rPr>
          <w:rFonts w:hint="eastAsia"/>
          <w:b w:val="0"/>
          <w:bCs w:val="0"/>
        </w:rPr>
        <w:t>二是加强科技创新赋能</w:t>
      </w:r>
      <w:r>
        <w:rPr>
          <w:rFonts w:hint="eastAsia"/>
          <w:b w:val="0"/>
          <w:bCs w:val="0"/>
          <w:lang w:val="zh-CN"/>
        </w:rPr>
        <w:t>。壮大科技创新主体，推进科技成果转化运用，以科技创新赋能林业绿色发展。</w:t>
      </w:r>
      <w:r>
        <w:rPr>
          <w:rFonts w:hint="eastAsia"/>
          <w:b w:val="0"/>
          <w:bCs w:val="0"/>
        </w:rPr>
        <w:t>围绕全区林产品种植加工、深化同中国林科院亚林所、湖北省林业科技推广中心、武汉中油所、湖北轻工大学等院所的合作，着力构建农科教、产学研一体化现代林业科技创新和推广体系。大力发展运用智慧林业，研究和开发林产品深加工和综合利用。在种植环节，通过参与式、带动式、示范式等新型农技推广方式，加大新品种、新技术的应用力度，培育乡土技术人才1000名，使之留得住心、扎得下根。在加工环节，不断加快产品研发和装备改造升级，推进新技术、新专利、新成果的转化运用。以林产品加工企业为依托，建成“三个中心”</w:t>
      </w:r>
    </w:p>
    <w:bookmarkEnd w:id="74"/>
    <w:p w14:paraId="6D4D5126">
      <w:pPr>
        <w:pStyle w:val="2"/>
        <w:bidi w:val="0"/>
      </w:pPr>
      <w:bookmarkStart w:id="77" w:name="_Toc32736"/>
      <w:bookmarkStart w:id="78" w:name="_Toc3604"/>
      <w:r>
        <w:rPr>
          <w:rFonts w:hint="eastAsia"/>
        </w:rPr>
        <w:t>四、建立健全责任机制</w:t>
      </w:r>
      <w:bookmarkEnd w:id="77"/>
      <w:bookmarkEnd w:id="78"/>
    </w:p>
    <w:p w14:paraId="15E1A2A8">
      <w:pPr>
        <w:pStyle w:val="13"/>
        <w:keepNext w:val="0"/>
        <w:keepLines w:val="0"/>
        <w:pageBreakBefore w:val="0"/>
        <w:widowControl w:val="0"/>
        <w:kinsoku/>
        <w:wordWrap/>
        <w:overflowPunct/>
        <w:topLinePunct w:val="0"/>
        <w:autoSpaceDE/>
        <w:autoSpaceDN/>
        <w:bidi w:val="0"/>
        <w:adjustRightInd/>
        <w:snapToGrid/>
        <w:spacing w:line="600" w:lineRule="exact"/>
        <w:ind w:firstLine="420"/>
        <w:textAlignment w:val="auto"/>
        <w:rPr>
          <w:b w:val="0"/>
          <w:bCs w:val="0"/>
        </w:rPr>
      </w:pPr>
      <w:r>
        <w:rPr>
          <w:rFonts w:hint="eastAsia"/>
          <w:b w:val="0"/>
          <w:bCs w:val="0"/>
        </w:rPr>
        <w:t>党委和政府是完成“十四五”林业各项任务的责任主体。各级党委、政府要切实加强对林业工作的领导，把林业建设纳入当地经济社会发展总体规划，动员全社会力量关心支持林业，及时协调和解决好林业发展中的突出矛盾和问题。建立健全领导干部森林资源保护发展目标责任制，把森林覆盖率、森林蓄积量、林地保有量等“十四五”规划的约束性指标纳入政府年度目标考核体系，确保领导到位、责任到位、投入到位，推进林业治理体系和治理能力现代化；</w:t>
      </w:r>
      <w:r>
        <w:rPr>
          <w:b w:val="0"/>
          <w:bCs w:val="0"/>
        </w:rPr>
        <w:t>完善相关政</w:t>
      </w:r>
      <w:r>
        <w:rPr>
          <w:rFonts w:hint="eastAsia"/>
          <w:b w:val="0"/>
          <w:bCs w:val="0"/>
        </w:rPr>
        <w:t>策措施，为发展现代林业、建设生态文明、推动科学发展提供有力保障。对因保护不力致使森林资源受到严重破坏的，要追究有关人员的领导责任。</w:t>
      </w:r>
    </w:p>
    <w:p w14:paraId="2B50F18E">
      <w:pPr>
        <w:pStyle w:val="2"/>
        <w:bidi w:val="0"/>
      </w:pPr>
      <w:bookmarkStart w:id="79" w:name="_Toc11486"/>
      <w:bookmarkStart w:id="80" w:name="_Toc31874"/>
      <w:r>
        <w:rPr>
          <w:rFonts w:hint="eastAsia"/>
        </w:rPr>
        <w:t>五、抓好队伍建设</w:t>
      </w:r>
      <w:bookmarkEnd w:id="79"/>
      <w:bookmarkEnd w:id="80"/>
    </w:p>
    <w:p w14:paraId="2D4298E9">
      <w:pPr>
        <w:spacing w:line="600" w:lineRule="exact"/>
        <w:ind w:firstLine="640"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建立健全各项管理制度，将权力、项目、资金运行关进制度管理的笼子里。切实转变工作作风，提高服务能力和效率，深入推进政府信息公开，主动接受社会和群众对各项工作的监督。强化风险防控，维护干部、项目、资金安全。加强监督检查，严防违纪、违法、违规事件发生。</w:t>
      </w:r>
    </w:p>
    <w:p w14:paraId="070FFB76">
      <w:pPr>
        <w:spacing w:line="600" w:lineRule="exact"/>
        <w:ind w:firstLine="640" w:firstLineChars="200"/>
        <w:rPr>
          <w:rFonts w:ascii="仿宋_GB2312" w:hAnsi="仿宋_GB2312" w:eastAsia="仿宋_GB2312" w:cs="仿宋_GB2312"/>
          <w:b w:val="0"/>
          <w:bCs w:val="0"/>
          <w:sz w:val="32"/>
          <w:szCs w:val="32"/>
        </w:rPr>
      </w:pPr>
    </w:p>
    <w:p w14:paraId="5049D194">
      <w:pPr>
        <w:spacing w:line="600" w:lineRule="exact"/>
        <w:ind w:firstLine="640" w:firstLineChars="200"/>
        <w:rPr>
          <w:rFonts w:ascii="仿宋_GB2312" w:hAnsi="仿宋_GB2312" w:eastAsia="仿宋_GB2312" w:cs="仿宋_GB2312"/>
          <w:b w:val="0"/>
          <w:bCs w:val="0"/>
          <w:sz w:val="32"/>
          <w:szCs w:val="32"/>
        </w:rPr>
      </w:pPr>
    </w:p>
    <w:p w14:paraId="35617898">
      <w:pPr>
        <w:spacing w:line="600" w:lineRule="exact"/>
        <w:ind w:firstLine="640" w:firstLineChars="200"/>
        <w:rPr>
          <w:rFonts w:ascii="仿宋_GB2312" w:hAnsi="仿宋_GB2312" w:eastAsia="仿宋_GB2312" w:cs="仿宋_GB2312"/>
          <w:b w:val="0"/>
          <w:bCs w:val="0"/>
          <w:sz w:val="32"/>
          <w:szCs w:val="32"/>
        </w:rPr>
      </w:pPr>
    </w:p>
    <w:p w14:paraId="3C4865B4">
      <w:pPr>
        <w:spacing w:line="600" w:lineRule="exact"/>
        <w:ind w:firstLine="640" w:firstLineChars="200"/>
        <w:rPr>
          <w:rFonts w:ascii="仿宋_GB2312" w:hAnsi="仿宋_GB2312" w:eastAsia="仿宋_GB2312" w:cs="仿宋_GB2312"/>
          <w:b w:val="0"/>
          <w:bCs w:val="0"/>
          <w:sz w:val="32"/>
          <w:szCs w:val="32"/>
        </w:rPr>
      </w:pPr>
    </w:p>
    <w:p w14:paraId="26DAFB6C">
      <w:pPr>
        <w:wordWrap w:val="0"/>
        <w:spacing w:line="600" w:lineRule="exact"/>
        <w:ind w:firstLine="640" w:firstLineChars="200"/>
        <w:jc w:val="righ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2021年</w:t>
      </w: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月1</w:t>
      </w:r>
      <w:r>
        <w:rPr>
          <w:rFonts w:hint="eastAsia" w:ascii="仿宋_GB2312" w:hAnsi="仿宋_GB2312" w:eastAsia="仿宋_GB2312" w:cs="仿宋_GB2312"/>
          <w:b w:val="0"/>
          <w:bCs w:val="0"/>
          <w:sz w:val="32"/>
          <w:szCs w:val="32"/>
          <w:lang w:val="en-US" w:eastAsia="zh-CN"/>
        </w:rPr>
        <w:t>7</w:t>
      </w:r>
      <w:r>
        <w:rPr>
          <w:rFonts w:hint="eastAsia" w:ascii="仿宋_GB2312" w:hAnsi="仿宋_GB2312" w:eastAsia="仿宋_GB2312" w:cs="仿宋_GB2312"/>
          <w:b w:val="0"/>
          <w:bCs w:val="0"/>
          <w:sz w:val="32"/>
          <w:szCs w:val="32"/>
        </w:rPr>
        <w:t>日</w:t>
      </w:r>
      <w:r>
        <w:rPr>
          <w:rFonts w:hint="eastAsia" w:ascii="仿宋_GB2312" w:hAnsi="仿宋_GB2312" w:eastAsia="仿宋_GB2312" w:cs="仿宋_GB2312"/>
          <w:b w:val="0"/>
          <w:bCs w:val="0"/>
          <w:sz w:val="32"/>
          <w:szCs w:val="32"/>
          <w:lang w:val="en-US" w:eastAsia="zh-CN"/>
        </w:rPr>
        <w:t xml:space="preserve">        </w:t>
      </w:r>
    </w:p>
    <w:p w14:paraId="3187E1DE">
      <w:pPr>
        <w:spacing w:line="600" w:lineRule="exact"/>
        <w:rPr>
          <w:b w:val="0"/>
          <w:bCs w:val="0"/>
        </w:rPr>
      </w:pPr>
    </w:p>
    <w:sectPr>
      <w:footerReference r:id="rId4" w:type="default"/>
      <w:pgSz w:w="11906" w:h="16838"/>
      <w:pgMar w:top="1701" w:right="1587" w:bottom="1474" w:left="1587" w:header="851" w:footer="992" w:gutter="0"/>
      <w:pgNumType w:start="1"/>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EE737">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BCBC5">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76AB79">
                          <w:pPr>
                            <w:pStyle w:val="8"/>
                            <w:rPr>
                              <w:rStyle w:val="16"/>
                            </w:rPr>
                          </w:pPr>
                          <w:r>
                            <w:rPr>
                              <w:rStyle w:val="16"/>
                            </w:rPr>
                            <w:fldChar w:fldCharType="begin"/>
                          </w:r>
                          <w:r>
                            <w:rPr>
                              <w:rStyle w:val="16"/>
                            </w:rPr>
                            <w:instrText xml:space="preserve">PAGE  </w:instrText>
                          </w:r>
                          <w:r>
                            <w:rPr>
                              <w:rStyle w:val="16"/>
                            </w:rPr>
                            <w:fldChar w:fldCharType="separate"/>
                          </w:r>
                          <w:r>
                            <w:rPr>
                              <w:rStyle w:val="16"/>
                            </w:rPr>
                            <w:t>21</w:t>
                          </w:r>
                          <w:r>
                            <w:rPr>
                              <w:rStyle w:val="16"/>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H+KQssBAACcAwAADgAAAGRycy9lMm9Eb2MueG1srVPNjtMwEL4j8Q6W&#10;79RpD6hETVe7qhYhIUBaeADXsRtL/pPHbdIXgDfgxIU7z9XnYOwkXVgue+CSjGcm33zf58nmZrCG&#10;nGQE7V1Dl4uKEumEb7U7NPTL5/tXa0ogcddy451s6FkCvdm+fLHpQy1XvvOmlZEgiIO6Dw3tUgo1&#10;YyA6aTksfJAOi8pHyxMe44G1kfeIbg1bVdVr1vvYhuiFBMDsbizSCTE+B9ArpYXceXG00qURNUrD&#10;E0qCTgeg28JWKSnSR6VAJmIaikpTeeIQjPf5ybYbXh8iD50WEwX+HApPNFmuHQ69Qu144uQY9T9Q&#10;Vovowau0EN6yUUhxBFUsqyfePHQ8yKIFrYZwNR3+H6z4cPoUiW5xEyhx3OKFX75/u/z4dfn5lSyr&#10;1ZvsUB+gxsaHgK1puPND7p7ygMksfFDR5jdKIlhHf89Xf+WQiMgfrVfrdYUlgbX5gDjs8fMQIb2V&#10;3pIcNDTiBRZf+ek9pLF1bsnTnL/XxmCe18b9lUDMnGGZ+8gxR2nYDxPxvW/PqKfHu2+ow1WnxLxz&#10;aG1ekzmIc7Cfg2OI+tAhtWXhBeH2mJBE4ZYnjLDTYLy0om5asLwVf55L1+NPtf0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h/ikLLAQAAnAMAAA4AAAAAAAAAAQAgAAAAHgEAAGRycy9lMm9E&#10;b2MueG1sUEsFBgAAAAAGAAYAWQEAAFsFAAAAAA==&#10;">
              <v:fill on="f" focussize="0,0"/>
              <v:stroke on="f"/>
              <v:imagedata o:title=""/>
              <o:lock v:ext="edit" aspectratio="f"/>
              <v:textbox inset="0mm,0mm,0mm,0mm" style="mso-fit-shape-to-text:t;">
                <w:txbxContent>
                  <w:p w14:paraId="3976AB79">
                    <w:pPr>
                      <w:pStyle w:val="8"/>
                      <w:rPr>
                        <w:rStyle w:val="16"/>
                      </w:rPr>
                    </w:pPr>
                    <w:r>
                      <w:rPr>
                        <w:rStyle w:val="16"/>
                      </w:rPr>
                      <w:fldChar w:fldCharType="begin"/>
                    </w:r>
                    <w:r>
                      <w:rPr>
                        <w:rStyle w:val="16"/>
                      </w:rPr>
                      <w:instrText xml:space="preserve">PAGE  </w:instrText>
                    </w:r>
                    <w:r>
                      <w:rPr>
                        <w:rStyle w:val="16"/>
                      </w:rPr>
                      <w:fldChar w:fldCharType="separate"/>
                    </w:r>
                    <w:r>
                      <w:rPr>
                        <w:rStyle w:val="16"/>
                      </w:rPr>
                      <w:t>21</w:t>
                    </w:r>
                    <w:r>
                      <w:rPr>
                        <w:rStyle w:val="16"/>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JiYzIzY2JhZDZmNzljNDhmNWRiYmUyOTUwNjZlN2YifQ=="/>
  </w:docVars>
  <w:rsids>
    <w:rsidRoot w:val="719C24F6"/>
    <w:rsid w:val="00003405"/>
    <w:rsid w:val="000268A9"/>
    <w:rsid w:val="0004554D"/>
    <w:rsid w:val="00087040"/>
    <w:rsid w:val="000A73BB"/>
    <w:rsid w:val="00110434"/>
    <w:rsid w:val="001216E4"/>
    <w:rsid w:val="00136DCA"/>
    <w:rsid w:val="00167A03"/>
    <w:rsid w:val="001B03CF"/>
    <w:rsid w:val="001B3CFA"/>
    <w:rsid w:val="001D024B"/>
    <w:rsid w:val="00211189"/>
    <w:rsid w:val="00251463"/>
    <w:rsid w:val="00274135"/>
    <w:rsid w:val="00277BA3"/>
    <w:rsid w:val="00280248"/>
    <w:rsid w:val="00287B8C"/>
    <w:rsid w:val="002B00EF"/>
    <w:rsid w:val="00312E41"/>
    <w:rsid w:val="00323226"/>
    <w:rsid w:val="00345FCA"/>
    <w:rsid w:val="003C184F"/>
    <w:rsid w:val="003C2259"/>
    <w:rsid w:val="003D3D25"/>
    <w:rsid w:val="003E7B87"/>
    <w:rsid w:val="003F4129"/>
    <w:rsid w:val="003F497C"/>
    <w:rsid w:val="00405DC9"/>
    <w:rsid w:val="004210C2"/>
    <w:rsid w:val="00426F7C"/>
    <w:rsid w:val="00436A50"/>
    <w:rsid w:val="00441C8B"/>
    <w:rsid w:val="00477D28"/>
    <w:rsid w:val="004C5F25"/>
    <w:rsid w:val="004D35CC"/>
    <w:rsid w:val="004E4E53"/>
    <w:rsid w:val="00581A14"/>
    <w:rsid w:val="005B75C5"/>
    <w:rsid w:val="005D2D19"/>
    <w:rsid w:val="006004F8"/>
    <w:rsid w:val="006408E4"/>
    <w:rsid w:val="00680D89"/>
    <w:rsid w:val="006A0458"/>
    <w:rsid w:val="006A21DC"/>
    <w:rsid w:val="006E36C0"/>
    <w:rsid w:val="006E6530"/>
    <w:rsid w:val="006F315C"/>
    <w:rsid w:val="007078C7"/>
    <w:rsid w:val="00734ADA"/>
    <w:rsid w:val="00747FBD"/>
    <w:rsid w:val="007C20AA"/>
    <w:rsid w:val="007D0188"/>
    <w:rsid w:val="007F0653"/>
    <w:rsid w:val="007F653E"/>
    <w:rsid w:val="008161FC"/>
    <w:rsid w:val="0081771B"/>
    <w:rsid w:val="0084023F"/>
    <w:rsid w:val="00845A1E"/>
    <w:rsid w:val="00880089"/>
    <w:rsid w:val="008A1C99"/>
    <w:rsid w:val="008F67F8"/>
    <w:rsid w:val="00945372"/>
    <w:rsid w:val="00947F49"/>
    <w:rsid w:val="009724BA"/>
    <w:rsid w:val="00975C5C"/>
    <w:rsid w:val="00993C69"/>
    <w:rsid w:val="009A3A5A"/>
    <w:rsid w:val="009A7642"/>
    <w:rsid w:val="009B2FA5"/>
    <w:rsid w:val="009B5789"/>
    <w:rsid w:val="009C1AA1"/>
    <w:rsid w:val="009D4E60"/>
    <w:rsid w:val="009E0A5B"/>
    <w:rsid w:val="009F7F61"/>
    <w:rsid w:val="00A47F8E"/>
    <w:rsid w:val="00A65505"/>
    <w:rsid w:val="00A745CF"/>
    <w:rsid w:val="00B22ADB"/>
    <w:rsid w:val="00B7563F"/>
    <w:rsid w:val="00B97437"/>
    <w:rsid w:val="00BB172F"/>
    <w:rsid w:val="00BB1CD9"/>
    <w:rsid w:val="00BB2037"/>
    <w:rsid w:val="00BB52FB"/>
    <w:rsid w:val="00BC5DC9"/>
    <w:rsid w:val="00BF6CD9"/>
    <w:rsid w:val="00C01E6F"/>
    <w:rsid w:val="00C55FA1"/>
    <w:rsid w:val="00C67FD6"/>
    <w:rsid w:val="00C802CB"/>
    <w:rsid w:val="00CC029E"/>
    <w:rsid w:val="00CD77AC"/>
    <w:rsid w:val="00CF3F1C"/>
    <w:rsid w:val="00D20736"/>
    <w:rsid w:val="00E33E1C"/>
    <w:rsid w:val="00E4284C"/>
    <w:rsid w:val="00E45546"/>
    <w:rsid w:val="00E4690E"/>
    <w:rsid w:val="00E90B5B"/>
    <w:rsid w:val="00EF5EB0"/>
    <w:rsid w:val="00F011AA"/>
    <w:rsid w:val="00F2759C"/>
    <w:rsid w:val="00F40761"/>
    <w:rsid w:val="00F455F5"/>
    <w:rsid w:val="00F71F1D"/>
    <w:rsid w:val="00F82D47"/>
    <w:rsid w:val="00FB0EA2"/>
    <w:rsid w:val="00FD4705"/>
    <w:rsid w:val="00FD6C6D"/>
    <w:rsid w:val="00FF7CA5"/>
    <w:rsid w:val="031848BB"/>
    <w:rsid w:val="0352583D"/>
    <w:rsid w:val="04CF0352"/>
    <w:rsid w:val="04D27CCE"/>
    <w:rsid w:val="05DD2D90"/>
    <w:rsid w:val="05E16CE7"/>
    <w:rsid w:val="062954F0"/>
    <w:rsid w:val="06333558"/>
    <w:rsid w:val="068E27FF"/>
    <w:rsid w:val="07095058"/>
    <w:rsid w:val="07B2390F"/>
    <w:rsid w:val="087329B6"/>
    <w:rsid w:val="08C51888"/>
    <w:rsid w:val="08D319A4"/>
    <w:rsid w:val="092F0004"/>
    <w:rsid w:val="09353712"/>
    <w:rsid w:val="095645F9"/>
    <w:rsid w:val="09A31DC5"/>
    <w:rsid w:val="0A390B64"/>
    <w:rsid w:val="0A8F3290"/>
    <w:rsid w:val="0B376F9D"/>
    <w:rsid w:val="0C7D6578"/>
    <w:rsid w:val="0CAD42A7"/>
    <w:rsid w:val="0D9F046D"/>
    <w:rsid w:val="0DC95531"/>
    <w:rsid w:val="0DFE26BC"/>
    <w:rsid w:val="0DFE318C"/>
    <w:rsid w:val="0E4B76B1"/>
    <w:rsid w:val="0E965D11"/>
    <w:rsid w:val="0F035693"/>
    <w:rsid w:val="0F0A53BA"/>
    <w:rsid w:val="0FC76993"/>
    <w:rsid w:val="0FE60EE5"/>
    <w:rsid w:val="0FEA47D0"/>
    <w:rsid w:val="10595D4F"/>
    <w:rsid w:val="10752C12"/>
    <w:rsid w:val="10FA726E"/>
    <w:rsid w:val="11A41CF2"/>
    <w:rsid w:val="11E74FAC"/>
    <w:rsid w:val="12357F78"/>
    <w:rsid w:val="12AB3233"/>
    <w:rsid w:val="12DB578E"/>
    <w:rsid w:val="13257D0C"/>
    <w:rsid w:val="14675C96"/>
    <w:rsid w:val="14C23E74"/>
    <w:rsid w:val="150E5A77"/>
    <w:rsid w:val="159C1F57"/>
    <w:rsid w:val="15AE5BC0"/>
    <w:rsid w:val="16E33A21"/>
    <w:rsid w:val="189C606F"/>
    <w:rsid w:val="19B33459"/>
    <w:rsid w:val="19E63F69"/>
    <w:rsid w:val="1A290BE5"/>
    <w:rsid w:val="1A942989"/>
    <w:rsid w:val="1ACB646E"/>
    <w:rsid w:val="1B0105FA"/>
    <w:rsid w:val="1B271CE7"/>
    <w:rsid w:val="1B354C53"/>
    <w:rsid w:val="1B934CFA"/>
    <w:rsid w:val="1B94735E"/>
    <w:rsid w:val="1C3C2728"/>
    <w:rsid w:val="1C496271"/>
    <w:rsid w:val="1C7E3872"/>
    <w:rsid w:val="1C81267A"/>
    <w:rsid w:val="1D024482"/>
    <w:rsid w:val="1E045419"/>
    <w:rsid w:val="1E522E14"/>
    <w:rsid w:val="1E705BBF"/>
    <w:rsid w:val="1F4C6E72"/>
    <w:rsid w:val="202D3D83"/>
    <w:rsid w:val="21032A1E"/>
    <w:rsid w:val="213B69BD"/>
    <w:rsid w:val="217C686A"/>
    <w:rsid w:val="222B17E7"/>
    <w:rsid w:val="227D102A"/>
    <w:rsid w:val="22EF7571"/>
    <w:rsid w:val="239203BF"/>
    <w:rsid w:val="24A404D2"/>
    <w:rsid w:val="25180537"/>
    <w:rsid w:val="25594969"/>
    <w:rsid w:val="25C32F71"/>
    <w:rsid w:val="26924B57"/>
    <w:rsid w:val="26B83C06"/>
    <w:rsid w:val="26CD4F69"/>
    <w:rsid w:val="278C4066"/>
    <w:rsid w:val="27D736E3"/>
    <w:rsid w:val="284C755C"/>
    <w:rsid w:val="28555C2D"/>
    <w:rsid w:val="29C414C5"/>
    <w:rsid w:val="29C510DD"/>
    <w:rsid w:val="29DD3E6C"/>
    <w:rsid w:val="2A8D6317"/>
    <w:rsid w:val="2ABD2891"/>
    <w:rsid w:val="2C75378A"/>
    <w:rsid w:val="2CC30B06"/>
    <w:rsid w:val="2E582EA0"/>
    <w:rsid w:val="2E792B83"/>
    <w:rsid w:val="2E902826"/>
    <w:rsid w:val="2EE8708A"/>
    <w:rsid w:val="2F6B41D4"/>
    <w:rsid w:val="2F877BCC"/>
    <w:rsid w:val="30141335"/>
    <w:rsid w:val="308120DE"/>
    <w:rsid w:val="3082531C"/>
    <w:rsid w:val="308921E6"/>
    <w:rsid w:val="31DB5DAE"/>
    <w:rsid w:val="320A109A"/>
    <w:rsid w:val="326F1B85"/>
    <w:rsid w:val="32AA3D30"/>
    <w:rsid w:val="33842B99"/>
    <w:rsid w:val="34FC5D1C"/>
    <w:rsid w:val="354A3EC9"/>
    <w:rsid w:val="36530E96"/>
    <w:rsid w:val="36A01CFD"/>
    <w:rsid w:val="373651F3"/>
    <w:rsid w:val="37C6759A"/>
    <w:rsid w:val="37E86074"/>
    <w:rsid w:val="38153484"/>
    <w:rsid w:val="38943B79"/>
    <w:rsid w:val="391105BD"/>
    <w:rsid w:val="39126605"/>
    <w:rsid w:val="39A604ED"/>
    <w:rsid w:val="3A377D1F"/>
    <w:rsid w:val="3A773C26"/>
    <w:rsid w:val="3B345C18"/>
    <w:rsid w:val="3BB87E2B"/>
    <w:rsid w:val="3BFD7EE2"/>
    <w:rsid w:val="3C732112"/>
    <w:rsid w:val="3D2F5ADF"/>
    <w:rsid w:val="3D5B6C86"/>
    <w:rsid w:val="3DC62EA2"/>
    <w:rsid w:val="3E120241"/>
    <w:rsid w:val="3E2C42BA"/>
    <w:rsid w:val="3E5D2A4F"/>
    <w:rsid w:val="3E5F1DA6"/>
    <w:rsid w:val="3F0B5A32"/>
    <w:rsid w:val="3F3569E8"/>
    <w:rsid w:val="3F95402B"/>
    <w:rsid w:val="41265C35"/>
    <w:rsid w:val="41324285"/>
    <w:rsid w:val="413F1053"/>
    <w:rsid w:val="41887014"/>
    <w:rsid w:val="41AD38E1"/>
    <w:rsid w:val="421E69C2"/>
    <w:rsid w:val="42A74022"/>
    <w:rsid w:val="42FA59B8"/>
    <w:rsid w:val="43085CE4"/>
    <w:rsid w:val="43A16AE6"/>
    <w:rsid w:val="43A86497"/>
    <w:rsid w:val="43A978DF"/>
    <w:rsid w:val="457110FB"/>
    <w:rsid w:val="457646F5"/>
    <w:rsid w:val="46471608"/>
    <w:rsid w:val="466120B1"/>
    <w:rsid w:val="46992F22"/>
    <w:rsid w:val="47AA0117"/>
    <w:rsid w:val="48DF3786"/>
    <w:rsid w:val="48E219CD"/>
    <w:rsid w:val="49692FA5"/>
    <w:rsid w:val="4AA06C0D"/>
    <w:rsid w:val="4AD217EB"/>
    <w:rsid w:val="4B971DB7"/>
    <w:rsid w:val="4C456AC3"/>
    <w:rsid w:val="4CB23579"/>
    <w:rsid w:val="4D7042EE"/>
    <w:rsid w:val="4E9960EB"/>
    <w:rsid w:val="4EE02F63"/>
    <w:rsid w:val="4F5C7C4D"/>
    <w:rsid w:val="501A2BC1"/>
    <w:rsid w:val="504C692E"/>
    <w:rsid w:val="50623DEB"/>
    <w:rsid w:val="50901961"/>
    <w:rsid w:val="515C7B07"/>
    <w:rsid w:val="51951885"/>
    <w:rsid w:val="52DE519D"/>
    <w:rsid w:val="52F26746"/>
    <w:rsid w:val="539C1260"/>
    <w:rsid w:val="53AB771D"/>
    <w:rsid w:val="53C1524B"/>
    <w:rsid w:val="549C2EE2"/>
    <w:rsid w:val="554D40F3"/>
    <w:rsid w:val="55656438"/>
    <w:rsid w:val="55860511"/>
    <w:rsid w:val="55FF7EEF"/>
    <w:rsid w:val="570A3D81"/>
    <w:rsid w:val="5818167D"/>
    <w:rsid w:val="58366D24"/>
    <w:rsid w:val="583A3098"/>
    <w:rsid w:val="58E42713"/>
    <w:rsid w:val="58F70509"/>
    <w:rsid w:val="591C1BA2"/>
    <w:rsid w:val="591F66B6"/>
    <w:rsid w:val="59424C68"/>
    <w:rsid w:val="59E05B0C"/>
    <w:rsid w:val="5A982370"/>
    <w:rsid w:val="5AAA6FB5"/>
    <w:rsid w:val="5B65424E"/>
    <w:rsid w:val="5B8843A6"/>
    <w:rsid w:val="5BD00CD0"/>
    <w:rsid w:val="5BD563B3"/>
    <w:rsid w:val="5C7B2815"/>
    <w:rsid w:val="5DCC1201"/>
    <w:rsid w:val="5DD87E1A"/>
    <w:rsid w:val="5DEE2399"/>
    <w:rsid w:val="5EB03267"/>
    <w:rsid w:val="5ECC18F8"/>
    <w:rsid w:val="5FC8529F"/>
    <w:rsid w:val="610F707B"/>
    <w:rsid w:val="61CA5BF9"/>
    <w:rsid w:val="625560A1"/>
    <w:rsid w:val="62D74722"/>
    <w:rsid w:val="632B116F"/>
    <w:rsid w:val="63C17D40"/>
    <w:rsid w:val="63E52F21"/>
    <w:rsid w:val="642520F1"/>
    <w:rsid w:val="645D01CB"/>
    <w:rsid w:val="64D33F56"/>
    <w:rsid w:val="65B02010"/>
    <w:rsid w:val="65DA00C3"/>
    <w:rsid w:val="671C71C4"/>
    <w:rsid w:val="674B42AD"/>
    <w:rsid w:val="68091DC3"/>
    <w:rsid w:val="68111BF8"/>
    <w:rsid w:val="68A50FAF"/>
    <w:rsid w:val="68D01D0C"/>
    <w:rsid w:val="69FE5455"/>
    <w:rsid w:val="6AF34174"/>
    <w:rsid w:val="6B505374"/>
    <w:rsid w:val="6C1B6850"/>
    <w:rsid w:val="6C436436"/>
    <w:rsid w:val="6C4E1E0E"/>
    <w:rsid w:val="6C4F0383"/>
    <w:rsid w:val="6C747839"/>
    <w:rsid w:val="6CB37727"/>
    <w:rsid w:val="6CF74759"/>
    <w:rsid w:val="6D124DBC"/>
    <w:rsid w:val="6DC2733E"/>
    <w:rsid w:val="6E2A1BD0"/>
    <w:rsid w:val="6E6E38DF"/>
    <w:rsid w:val="6EA86553"/>
    <w:rsid w:val="6ED571FD"/>
    <w:rsid w:val="6F6F6992"/>
    <w:rsid w:val="6FA54CDB"/>
    <w:rsid w:val="701D7CA4"/>
    <w:rsid w:val="719C24F6"/>
    <w:rsid w:val="724E3AD8"/>
    <w:rsid w:val="72832C22"/>
    <w:rsid w:val="73A26A19"/>
    <w:rsid w:val="75323F75"/>
    <w:rsid w:val="75693A70"/>
    <w:rsid w:val="76112FA5"/>
    <w:rsid w:val="771A59B5"/>
    <w:rsid w:val="77540883"/>
    <w:rsid w:val="77B25EE6"/>
    <w:rsid w:val="77E61AB4"/>
    <w:rsid w:val="78CD68C2"/>
    <w:rsid w:val="79D05F98"/>
    <w:rsid w:val="7A40089B"/>
    <w:rsid w:val="7AF2309E"/>
    <w:rsid w:val="7C87396D"/>
    <w:rsid w:val="7CB17155"/>
    <w:rsid w:val="7CF24743"/>
    <w:rsid w:val="7DBE29CE"/>
    <w:rsid w:val="7ED36CA3"/>
    <w:rsid w:val="7EDE422A"/>
    <w:rsid w:val="7F22657F"/>
    <w:rsid w:val="7F9C1942"/>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0" w:semiHidden="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0" w:semiHidden="0" w:name="Strong" w:locked="1"/>
    <w:lsdException w:qFormat="1" w:unhideWhenUsed="0" w:uiPriority="99"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uiPriority="99" w:name="HTML Keyboard"/>
    <w:lsdException w:uiPriority="99" w:name="HTML Preformatted"/>
    <w:lsdException w:uiPriority="99" w:name="HTML Sample"/>
    <w:lsdException w:uiPriority="99" w:name="HTML Typewriter"/>
    <w:lsdException w:qFormat="1" w:unhideWhenUsed="0" w:uiPriority="99" w:semiHidden="0"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locked/>
    <w:uiPriority w:val="0"/>
    <w:pPr>
      <w:keepNext/>
      <w:keepLines/>
      <w:spacing w:before="840" w:after="840" w:line="360" w:lineRule="auto"/>
      <w:jc w:val="center"/>
      <w:outlineLvl w:val="0"/>
    </w:pPr>
    <w:rPr>
      <w:rFonts w:eastAsia="黑体"/>
      <w:b/>
      <w:kern w:val="44"/>
      <w:sz w:val="36"/>
    </w:rPr>
  </w:style>
  <w:style w:type="paragraph" w:styleId="2">
    <w:name w:val="heading 2"/>
    <w:basedOn w:val="1"/>
    <w:next w:val="1"/>
    <w:link w:val="42"/>
    <w:qFormat/>
    <w:locked/>
    <w:uiPriority w:val="0"/>
    <w:pPr>
      <w:keepNext/>
      <w:keepLines/>
      <w:spacing w:before="140" w:after="140"/>
      <w:ind w:firstLine="880" w:firstLineChars="200"/>
      <w:jc w:val="left"/>
      <w:outlineLvl w:val="1"/>
    </w:pPr>
    <w:rPr>
      <w:rFonts w:ascii="Arial" w:hAnsi="Arial" w:eastAsia="楷体"/>
      <w:b/>
      <w:bCs/>
      <w:sz w:val="32"/>
      <w:szCs w:val="32"/>
    </w:rPr>
  </w:style>
  <w:style w:type="paragraph" w:styleId="4">
    <w:name w:val="heading 3"/>
    <w:basedOn w:val="1"/>
    <w:next w:val="1"/>
    <w:unhideWhenUsed/>
    <w:qFormat/>
    <w:locked/>
    <w:uiPriority w:val="0"/>
    <w:pPr>
      <w:keepNext/>
      <w:keepLines/>
      <w:adjustRightInd w:val="0"/>
      <w:snapToGrid w:val="0"/>
      <w:spacing w:line="600" w:lineRule="exact"/>
      <w:ind w:firstLine="880" w:firstLineChars="200"/>
      <w:outlineLvl w:val="2"/>
    </w:pPr>
    <w:rPr>
      <w:rFonts w:eastAsia="华文仿宋"/>
      <w:b/>
      <w:sz w:val="32"/>
    </w:rPr>
  </w:style>
  <w:style w:type="paragraph" w:styleId="5">
    <w:name w:val="heading 4"/>
    <w:basedOn w:val="1"/>
    <w:next w:val="1"/>
    <w:unhideWhenUsed/>
    <w:qFormat/>
    <w:locked/>
    <w:uiPriority w:val="0"/>
    <w:pPr>
      <w:keepNext/>
      <w:keepLines/>
      <w:spacing w:line="372" w:lineRule="auto"/>
      <w:outlineLvl w:val="3"/>
    </w:pPr>
    <w:rPr>
      <w:rFonts w:ascii="Arial" w:hAnsi="Arial" w:eastAsia="黑体"/>
      <w:b/>
      <w:sz w:val="28"/>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1"/>
    <w:rPr>
      <w:sz w:val="26"/>
      <w:szCs w:val="26"/>
    </w:rPr>
  </w:style>
  <w:style w:type="paragraph" w:styleId="7">
    <w:name w:val="Body Text Indent"/>
    <w:basedOn w:val="1"/>
    <w:link w:val="24"/>
    <w:qFormat/>
    <w:uiPriority w:val="99"/>
    <w:pPr>
      <w:ind w:firstLine="570"/>
    </w:pPr>
    <w:rPr>
      <w:rFonts w:ascii="仿宋_GB2312" w:eastAsia="仿宋_GB2312" w:cs="仿宋_GB2312"/>
      <w:sz w:val="32"/>
      <w:szCs w:val="32"/>
    </w:rPr>
  </w:style>
  <w:style w:type="paragraph" w:styleId="8">
    <w:name w:val="footer"/>
    <w:basedOn w:val="1"/>
    <w:link w:val="25"/>
    <w:qFormat/>
    <w:uiPriority w:val="99"/>
    <w:pPr>
      <w:tabs>
        <w:tab w:val="center" w:pos="4153"/>
        <w:tab w:val="right" w:pos="8306"/>
      </w:tabs>
      <w:snapToGrid w:val="0"/>
      <w:jc w:val="left"/>
    </w:pPr>
    <w:rPr>
      <w:sz w:val="18"/>
      <w:szCs w:val="18"/>
    </w:rPr>
  </w:style>
  <w:style w:type="paragraph" w:styleId="9">
    <w:name w:val="header"/>
    <w:basedOn w:val="1"/>
    <w:link w:val="26"/>
    <w:semiHidden/>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semiHidden/>
    <w:unhideWhenUsed/>
    <w:qFormat/>
    <w:uiPriority w:val="39"/>
  </w:style>
  <w:style w:type="paragraph" w:styleId="11">
    <w:name w:val="toc 2"/>
    <w:basedOn w:val="1"/>
    <w:next w:val="1"/>
    <w:unhideWhenUsed/>
    <w:qFormat/>
    <w:uiPriority w:val="39"/>
    <w:pPr>
      <w:ind w:left="420" w:leftChars="200"/>
    </w:pPr>
  </w:style>
  <w:style w:type="paragraph" w:styleId="12">
    <w:name w:val="Normal (Web)"/>
    <w:basedOn w:val="1"/>
    <w:qFormat/>
    <w:uiPriority w:val="99"/>
    <w:pPr>
      <w:spacing w:beforeAutospacing="1" w:afterAutospacing="1"/>
      <w:jc w:val="left"/>
    </w:pPr>
    <w:rPr>
      <w:kern w:val="0"/>
      <w:sz w:val="24"/>
      <w:szCs w:val="24"/>
    </w:rPr>
  </w:style>
  <w:style w:type="paragraph" w:styleId="13">
    <w:name w:val="Body Text First Indent 2"/>
    <w:basedOn w:val="7"/>
    <w:qFormat/>
    <w:uiPriority w:val="0"/>
    <w:pPr>
      <w:spacing w:line="600" w:lineRule="exact"/>
      <w:ind w:firstLine="420"/>
    </w:pPr>
    <w:rPr>
      <w:rFonts w:hAnsi="仿宋_GB2312"/>
    </w:rPr>
  </w:style>
  <w:style w:type="character" w:styleId="16">
    <w:name w:val="page number"/>
    <w:basedOn w:val="15"/>
    <w:qFormat/>
    <w:uiPriority w:val="99"/>
  </w:style>
  <w:style w:type="character" w:styleId="17">
    <w:name w:val="FollowedHyperlink"/>
    <w:basedOn w:val="15"/>
    <w:qFormat/>
    <w:uiPriority w:val="99"/>
    <w:rPr>
      <w:color w:val="000000"/>
      <w:u w:val="none"/>
    </w:rPr>
  </w:style>
  <w:style w:type="character" w:styleId="18">
    <w:name w:val="Emphasis"/>
    <w:basedOn w:val="15"/>
    <w:qFormat/>
    <w:uiPriority w:val="99"/>
  </w:style>
  <w:style w:type="character" w:styleId="19">
    <w:name w:val="HTML Definition"/>
    <w:basedOn w:val="15"/>
    <w:qFormat/>
    <w:uiPriority w:val="99"/>
  </w:style>
  <w:style w:type="character" w:styleId="20">
    <w:name w:val="HTML Variable"/>
    <w:basedOn w:val="15"/>
    <w:qFormat/>
    <w:uiPriority w:val="99"/>
  </w:style>
  <w:style w:type="character" w:styleId="21">
    <w:name w:val="Hyperlink"/>
    <w:basedOn w:val="15"/>
    <w:qFormat/>
    <w:uiPriority w:val="99"/>
    <w:rPr>
      <w:color w:val="000000"/>
      <w:u w:val="none"/>
    </w:rPr>
  </w:style>
  <w:style w:type="character" w:styleId="22">
    <w:name w:val="HTML Code"/>
    <w:basedOn w:val="15"/>
    <w:qFormat/>
    <w:uiPriority w:val="99"/>
    <w:rPr>
      <w:rFonts w:ascii="Courier New" w:hAnsi="Courier New" w:cs="Courier New"/>
      <w:sz w:val="20"/>
      <w:szCs w:val="20"/>
    </w:rPr>
  </w:style>
  <w:style w:type="character" w:styleId="23">
    <w:name w:val="HTML Cite"/>
    <w:basedOn w:val="15"/>
    <w:qFormat/>
    <w:uiPriority w:val="99"/>
  </w:style>
  <w:style w:type="character" w:customStyle="1" w:styleId="24">
    <w:name w:val="正文文本缩进 Char"/>
    <w:basedOn w:val="15"/>
    <w:link w:val="7"/>
    <w:semiHidden/>
    <w:qFormat/>
    <w:uiPriority w:val="99"/>
    <w:rPr>
      <w:szCs w:val="21"/>
    </w:rPr>
  </w:style>
  <w:style w:type="character" w:customStyle="1" w:styleId="25">
    <w:name w:val="页脚 Char"/>
    <w:basedOn w:val="15"/>
    <w:link w:val="8"/>
    <w:semiHidden/>
    <w:qFormat/>
    <w:uiPriority w:val="99"/>
    <w:rPr>
      <w:sz w:val="18"/>
      <w:szCs w:val="18"/>
    </w:rPr>
  </w:style>
  <w:style w:type="character" w:customStyle="1" w:styleId="26">
    <w:name w:val="页眉 Char"/>
    <w:basedOn w:val="15"/>
    <w:link w:val="9"/>
    <w:semiHidden/>
    <w:qFormat/>
    <w:uiPriority w:val="99"/>
    <w:rPr>
      <w:sz w:val="18"/>
      <w:szCs w:val="18"/>
    </w:rPr>
  </w:style>
  <w:style w:type="character" w:customStyle="1" w:styleId="27">
    <w:name w:val="source"/>
    <w:basedOn w:val="15"/>
    <w:qFormat/>
    <w:uiPriority w:val="99"/>
  </w:style>
  <w:style w:type="character" w:customStyle="1" w:styleId="28">
    <w:name w:val="iturnselect1"/>
    <w:basedOn w:val="15"/>
    <w:qFormat/>
    <w:uiPriority w:val="99"/>
    <w:rPr>
      <w:bdr w:val="single" w:color="auto" w:sz="6" w:space="0"/>
      <w:shd w:val="clear" w:color="auto" w:fill="auto"/>
    </w:rPr>
  </w:style>
  <w:style w:type="character" w:customStyle="1" w:styleId="29">
    <w:name w:val="news_fontsize"/>
    <w:basedOn w:val="15"/>
    <w:qFormat/>
    <w:uiPriority w:val="99"/>
    <w:rPr>
      <w:sz w:val="21"/>
      <w:szCs w:val="21"/>
    </w:rPr>
  </w:style>
  <w:style w:type="character" w:customStyle="1" w:styleId="30">
    <w:name w:val="iturnselect5"/>
    <w:basedOn w:val="15"/>
    <w:qFormat/>
    <w:uiPriority w:val="99"/>
    <w:rPr>
      <w:bdr w:val="single" w:color="auto" w:sz="6" w:space="0"/>
      <w:shd w:val="clear" w:color="auto" w:fill="auto"/>
    </w:rPr>
  </w:style>
  <w:style w:type="character" w:customStyle="1" w:styleId="31">
    <w:name w:val="iturnselect6"/>
    <w:basedOn w:val="15"/>
    <w:qFormat/>
    <w:uiPriority w:val="99"/>
    <w:rPr>
      <w:bdr w:val="single" w:color="auto" w:sz="6" w:space="0"/>
      <w:shd w:val="clear" w:color="auto" w:fill="auto"/>
    </w:rPr>
  </w:style>
  <w:style w:type="character" w:customStyle="1" w:styleId="32">
    <w:name w:val="iturnselect7"/>
    <w:basedOn w:val="15"/>
    <w:qFormat/>
    <w:uiPriority w:val="99"/>
    <w:rPr>
      <w:bdr w:val="single" w:color="auto" w:sz="6" w:space="0"/>
      <w:shd w:val="clear" w:color="auto" w:fill="auto"/>
    </w:rPr>
  </w:style>
  <w:style w:type="character" w:customStyle="1" w:styleId="33">
    <w:name w:val="iturnselect8"/>
    <w:basedOn w:val="15"/>
    <w:qFormat/>
    <w:uiPriority w:val="99"/>
    <w:rPr>
      <w:bdr w:val="single" w:color="auto" w:sz="6" w:space="0"/>
      <w:shd w:val="clear" w:color="auto" w:fill="auto"/>
    </w:rPr>
  </w:style>
  <w:style w:type="character" w:customStyle="1" w:styleId="34">
    <w:name w:val="iturnselect9"/>
    <w:basedOn w:val="15"/>
    <w:qFormat/>
    <w:uiPriority w:val="99"/>
    <w:rPr>
      <w:bdr w:val="single" w:color="auto" w:sz="6" w:space="0"/>
      <w:shd w:val="clear" w:color="auto" w:fill="auto"/>
    </w:rPr>
  </w:style>
  <w:style w:type="character" w:customStyle="1" w:styleId="35">
    <w:name w:val="iturnselect10"/>
    <w:basedOn w:val="15"/>
    <w:qFormat/>
    <w:uiPriority w:val="99"/>
    <w:rPr>
      <w:bdr w:val="single" w:color="auto" w:sz="6" w:space="0"/>
      <w:shd w:val="clear" w:color="auto" w:fill="auto"/>
    </w:rPr>
  </w:style>
  <w:style w:type="character" w:customStyle="1" w:styleId="36">
    <w:name w:val="iturnselect11"/>
    <w:basedOn w:val="15"/>
    <w:qFormat/>
    <w:uiPriority w:val="99"/>
    <w:rPr>
      <w:bdr w:val="single" w:color="auto" w:sz="6" w:space="0"/>
      <w:shd w:val="clear" w:color="auto" w:fill="auto"/>
    </w:rPr>
  </w:style>
  <w:style w:type="character" w:customStyle="1" w:styleId="37">
    <w:name w:val="iturnselect12"/>
    <w:basedOn w:val="15"/>
    <w:qFormat/>
    <w:uiPriority w:val="99"/>
    <w:rPr>
      <w:shd w:val="clear" w:color="auto" w:fill="auto"/>
    </w:rPr>
  </w:style>
  <w:style w:type="character" w:customStyle="1" w:styleId="38">
    <w:name w:val="printpage"/>
    <w:basedOn w:val="15"/>
    <w:qFormat/>
    <w:uiPriority w:val="99"/>
  </w:style>
  <w:style w:type="paragraph" w:styleId="39">
    <w:name w:val="List Paragraph"/>
    <w:basedOn w:val="1"/>
    <w:qFormat/>
    <w:uiPriority w:val="1"/>
    <w:pPr>
      <w:ind w:left="935" w:hanging="360"/>
    </w:pPr>
  </w:style>
  <w:style w:type="paragraph" w:customStyle="1" w:styleId="40">
    <w:name w:val="WPSOffice手动目录 1"/>
    <w:qFormat/>
    <w:uiPriority w:val="0"/>
    <w:rPr>
      <w:rFonts w:ascii="Calibri" w:hAnsi="Calibri" w:eastAsia="宋体" w:cs="Times New Roman"/>
      <w:lang w:val="en-US" w:eastAsia="zh-CN" w:bidi="ar-SA"/>
    </w:rPr>
  </w:style>
  <w:style w:type="paragraph" w:customStyle="1" w:styleId="41">
    <w:name w:val="WPSOffice手动目录 2"/>
    <w:qFormat/>
    <w:uiPriority w:val="0"/>
    <w:pPr>
      <w:ind w:left="200" w:leftChars="200"/>
    </w:pPr>
    <w:rPr>
      <w:rFonts w:ascii="Calibri" w:hAnsi="Calibri" w:eastAsia="宋体" w:cs="Times New Roman"/>
      <w:lang w:val="en-US" w:eastAsia="zh-CN" w:bidi="ar-SA"/>
    </w:rPr>
  </w:style>
  <w:style w:type="character" w:customStyle="1" w:styleId="42">
    <w:name w:val="标题 2 Char"/>
    <w:link w:val="2"/>
    <w:qFormat/>
    <w:uiPriority w:val="0"/>
    <w:rPr>
      <w:rFonts w:ascii="Arial" w:hAnsi="Arial" w:eastAsia="楷体"/>
      <w:b/>
      <w:bCs/>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E5813A-B85E-4385-AD4A-12DDCEBE4A4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42</Pages>
  <Words>2891</Words>
  <Characters>3044</Characters>
  <Lines>152</Lines>
  <Paragraphs>42</Paragraphs>
  <TotalTime>59</TotalTime>
  <ScaleCrop>false</ScaleCrop>
  <LinksUpToDate>false</LinksUpToDate>
  <CharactersWithSpaces>3103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2021-03-05T02:54:00Z</dcterms:created>
  <dc:creator>think</dc:creator>
  <cp:lastModifiedBy>WPS_1764117468</cp:lastModifiedBy>
  <cp:lastPrinted>2021-03-18T02:43:00Z</cp:lastPrinted>
  <dcterms:modified xsi:type="dcterms:W3CDTF">2026-10-20T07:11:35Z</dcterms:modified>
  <dc:title>曾都区林业十四五规划</dc:title>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21932EDF996A4CD795F1F66B9E1A6E4F_13</vt:lpwstr>
  </property>
  <property fmtid="{D5CDD505-2E9C-101B-9397-08002B2CF9AE}" pid="4" name="KSOTemplateDocerSaveRecord">
    <vt:lpwstr>eyJoZGlkIjoiOTJmNWNkNmEzOWY0NjIwMDM2YWVlMjNlY2Q4OWVmNzciLCJ1c2VySWQiOiIxMDM3NzUwNTQzIn0=</vt:lpwstr>
  </property>
</Properties>
</file>