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1366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44"/>
          <w:szCs w:val="52"/>
          <w:lang w:eastAsia="zh-CN"/>
        </w:rPr>
        <w:drawing>
          <wp:anchor distT="0" distB="0" distL="114300" distR="114300" simplePos="0" relativeHeight="251660288" behindDoc="1" locked="0" layoutInCell="1" allowOverlap="1">
            <wp:simplePos x="0" y="0"/>
            <wp:positionH relativeFrom="column">
              <wp:posOffset>-73660</wp:posOffset>
            </wp:positionH>
            <wp:positionV relativeFrom="paragraph">
              <wp:posOffset>701675</wp:posOffset>
            </wp:positionV>
            <wp:extent cx="5732145" cy="7632065"/>
            <wp:effectExtent l="0" t="0" r="1905" b="6985"/>
            <wp:wrapTight wrapText="bothSides">
              <wp:wrapPolygon>
                <wp:start x="0" y="0"/>
                <wp:lineTo x="0" y="21566"/>
                <wp:lineTo x="21535" y="21566"/>
                <wp:lineTo x="21535" y="0"/>
                <wp:lineTo x="0" y="0"/>
              </wp:wrapPolygon>
            </wp:wrapTight>
            <wp:docPr id="1" name="图片 2" descr="未标题-2(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未标题-2(1)_01"/>
                    <pic:cNvPicPr>
                      <a:picLocks noChangeAspect="1"/>
                    </pic:cNvPicPr>
                  </pic:nvPicPr>
                  <pic:blipFill>
                    <a:blip r:embed="rId6"/>
                    <a:stretch>
                      <a:fillRect/>
                    </a:stretch>
                  </pic:blipFill>
                  <pic:spPr>
                    <a:xfrm>
                      <a:off x="0" y="0"/>
                      <a:ext cx="5732145" cy="7632065"/>
                    </a:xfrm>
                    <a:prstGeom prst="rect">
                      <a:avLst/>
                    </a:prstGeom>
                    <a:noFill/>
                    <a:ln>
                      <a:noFill/>
                    </a:ln>
                  </pic:spPr>
                </pic:pic>
              </a:graphicData>
            </a:graphic>
          </wp:anchor>
        </w:drawing>
      </w:r>
      <w:r>
        <w:rPr>
          <w:rFonts w:hint="eastAsia" w:ascii="方正小标宋简体" w:hAnsi="方正小标宋简体" w:eastAsia="方正小标宋简体" w:cs="方正小标宋简体"/>
          <w:sz w:val="36"/>
          <w:szCs w:val="36"/>
          <w:lang w:val="en-US" w:eastAsia="zh-CN"/>
        </w:rPr>
        <w:t>附件1</w:t>
      </w:r>
    </w:p>
    <w:p w14:paraId="7CB5A48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附件2</w:t>
      </w:r>
    </w:p>
    <w:p w14:paraId="0A6D389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44"/>
          <w:szCs w:val="52"/>
          <w:lang w:val="en-US" w:eastAsia="zh-CN"/>
        </w:rPr>
      </w:pPr>
    </w:p>
    <w:p w14:paraId="00458C2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44"/>
          <w:szCs w:val="52"/>
          <w:lang w:val="en-US" w:eastAsia="zh-CN"/>
        </w:rPr>
      </w:pPr>
    </w:p>
    <w:p w14:paraId="0BBB1F8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随州市太山路（汉丹铁路—裕民大道）建设</w:t>
      </w:r>
    </w:p>
    <w:p w14:paraId="13A518D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项目国有土地上房屋征收补偿方案</w:t>
      </w:r>
    </w:p>
    <w:p w14:paraId="44C263B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val="en-US" w:eastAsia="zh-CN"/>
        </w:rPr>
      </w:pPr>
    </w:p>
    <w:p w14:paraId="2D92F8D6">
      <w:pPr>
        <w:ind w:firstLine="308" w:firstLineChars="100"/>
        <w:rPr>
          <w:rFonts w:hint="eastAsia" w:ascii="仿宋_GB2312" w:hAnsi="仿宋_GB2312" w:eastAsia="仿宋_GB2312" w:cs="仿宋_GB2312"/>
          <w:color w:val="000000"/>
          <w:spacing w:val="-6"/>
          <w:sz w:val="32"/>
          <w:szCs w:val="32"/>
          <w:lang w:val="en-US" w:eastAsia="zh-CN"/>
        </w:rPr>
      </w:pPr>
    </w:p>
    <w:p w14:paraId="7C9F0484">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eastAsia" w:ascii="仿宋_GB2312" w:hAnsi="仿宋_GB2312" w:eastAsia="仿宋_GB2312" w:cs="仿宋_GB2312"/>
          <w:color w:val="000000"/>
          <w:spacing w:val="-6"/>
          <w:w w:val="102"/>
          <w:sz w:val="32"/>
          <w:szCs w:val="32"/>
          <w:lang w:val="en-US" w:eastAsia="zh-CN"/>
        </w:rPr>
      </w:pPr>
      <w:r>
        <w:rPr>
          <w:rFonts w:hint="eastAsia" w:ascii="仿宋_GB2312" w:hAnsi="仿宋_GB2312" w:eastAsia="仿宋_GB2312" w:cs="仿宋_GB2312"/>
          <w:color w:val="000000"/>
          <w:spacing w:val="-6"/>
          <w:w w:val="102"/>
          <w:sz w:val="32"/>
          <w:szCs w:val="32"/>
          <w:lang w:val="en-US" w:eastAsia="zh-CN"/>
        </w:rPr>
        <w:t>根据城市建设规划和城北新区发展需要，为了有效改善人民群众居住环境，曾都区人民政府决定对位于随州市太山路建设项目规划范围内国有土地上的房屋实施征</w:t>
      </w:r>
      <w:bookmarkStart w:id="2" w:name="_GoBack"/>
      <w:bookmarkEnd w:id="2"/>
      <w:r>
        <w:rPr>
          <w:rFonts w:hint="eastAsia" w:ascii="仿宋_GB2312" w:hAnsi="仿宋_GB2312" w:eastAsia="仿宋_GB2312" w:cs="仿宋_GB2312"/>
          <w:color w:val="000000"/>
          <w:spacing w:val="-6"/>
          <w:w w:val="102"/>
          <w:sz w:val="32"/>
          <w:szCs w:val="32"/>
          <w:lang w:val="en-US" w:eastAsia="zh-CN"/>
        </w:rPr>
        <w:t>收。为了做好征收补偿工作,按照相关法律法规,结合项目实际,特制定征收补偿方案。</w:t>
      </w:r>
    </w:p>
    <w:p w14:paraId="3FF92D6E">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b/>
          <w:bCs/>
          <w:color w:val="000000"/>
          <w:spacing w:val="-6"/>
          <w:sz w:val="32"/>
          <w:szCs w:val="32"/>
          <w:lang w:val="en-US" w:eastAsia="zh-CN"/>
        </w:rPr>
      </w:pPr>
      <w:r>
        <w:rPr>
          <w:rFonts w:hint="eastAsia" w:ascii="仿宋_GB2312" w:hAnsi="仿宋_GB2312" w:eastAsia="仿宋_GB2312" w:cs="仿宋_GB2312"/>
          <w:b/>
          <w:bCs/>
          <w:color w:val="000000"/>
          <w:spacing w:val="-6"/>
          <w:sz w:val="32"/>
          <w:szCs w:val="32"/>
          <w:lang w:val="en-US" w:eastAsia="zh-CN"/>
        </w:rPr>
        <w:t>一、政策及法律依据</w:t>
      </w:r>
    </w:p>
    <w:p w14:paraId="0FF5B94D">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（一）《中华人民共和国民法典》</w:t>
      </w:r>
    </w:p>
    <w:p w14:paraId="0AFB9FE9">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（二）《中华人民共和国土地管理法》</w:t>
      </w:r>
    </w:p>
    <w:p w14:paraId="5F2CDE71">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（三）《中华人民共和国城乡规划法》</w:t>
      </w:r>
    </w:p>
    <w:p w14:paraId="0B28701E">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（四）《中华人民共和国土地管理法实施条例》（国务院令第743号）</w:t>
      </w:r>
    </w:p>
    <w:p w14:paraId="76D9FD51">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（五）《国有土地上房屋征收与补偿条例》(国务院令第590号)</w:t>
      </w:r>
    </w:p>
    <w:p w14:paraId="4E44FE68">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w w:val="98"/>
          <w:sz w:val="32"/>
          <w:szCs w:val="32"/>
          <w:lang w:val="en-US" w:eastAsia="zh-CN"/>
        </w:rPr>
      </w:pPr>
      <w:r>
        <w:rPr>
          <w:rFonts w:hint="eastAsia" w:ascii="仿宋_GB2312" w:hAnsi="仿宋_GB2312" w:eastAsia="仿宋_GB2312" w:cs="仿宋_GB2312"/>
          <w:color w:val="000000"/>
          <w:spacing w:val="-6"/>
          <w:sz w:val="32"/>
          <w:szCs w:val="32"/>
          <w:lang w:val="en-US" w:eastAsia="zh-CN"/>
        </w:rPr>
        <w:t>（六）《湖北省土地管理实施办法》</w:t>
      </w:r>
    </w:p>
    <w:p w14:paraId="1F1542FF">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eastAsia" w:ascii="仿宋_GB2312" w:hAnsi="仿宋_GB2312" w:eastAsia="仿宋_GB2312" w:cs="仿宋_GB2312"/>
          <w:color w:val="000000"/>
          <w:spacing w:val="-6"/>
          <w:w w:val="97"/>
          <w:sz w:val="32"/>
          <w:szCs w:val="32"/>
          <w:lang w:val="en-US" w:eastAsia="zh-CN"/>
        </w:rPr>
      </w:pPr>
      <w:r>
        <w:rPr>
          <w:rFonts w:hint="eastAsia" w:ascii="仿宋_GB2312" w:hAnsi="仿宋_GB2312" w:eastAsia="仿宋_GB2312" w:cs="仿宋_GB2312"/>
          <w:color w:val="000000"/>
          <w:spacing w:val="-6"/>
          <w:w w:val="97"/>
          <w:sz w:val="32"/>
          <w:szCs w:val="32"/>
          <w:lang w:val="en-US" w:eastAsia="zh-CN"/>
        </w:rPr>
        <w:t>（七）《湖北省国有土地上房屋征收与补偿实施办法》（省政府令第380号）</w:t>
      </w:r>
    </w:p>
    <w:p w14:paraId="22395CEA">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（八）《市人民政府办公室关于规范不动产征收工作中申请强制执行的意见》（随政办发〔2017〕42号）</w:t>
      </w:r>
    </w:p>
    <w:p w14:paraId="7403D590">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（九）其他相关法律法规</w:t>
      </w:r>
    </w:p>
    <w:p w14:paraId="7182FD4F">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b w:val="0"/>
          <w:bCs w:val="0"/>
          <w:color w:val="000000"/>
          <w:spacing w:val="-6"/>
          <w:sz w:val="32"/>
          <w:szCs w:val="32"/>
          <w:lang w:val="en-US" w:eastAsia="zh-CN"/>
        </w:rPr>
      </w:pPr>
      <w:r>
        <w:rPr>
          <w:rFonts w:hint="eastAsia" w:ascii="仿宋_GB2312" w:hAnsi="仿宋_GB2312" w:eastAsia="仿宋_GB2312" w:cs="仿宋_GB2312"/>
          <w:b/>
          <w:bCs/>
          <w:color w:val="000000"/>
          <w:spacing w:val="-6"/>
          <w:sz w:val="32"/>
          <w:szCs w:val="32"/>
          <w:lang w:val="en-US" w:eastAsia="zh-CN"/>
        </w:rPr>
        <w:t>二、项目名称：</w:t>
      </w:r>
      <w:r>
        <w:rPr>
          <w:rFonts w:hint="eastAsia" w:ascii="仿宋_GB2312" w:hAnsi="仿宋_GB2312" w:eastAsia="仿宋_GB2312" w:cs="仿宋_GB2312"/>
          <w:b w:val="0"/>
          <w:bCs w:val="0"/>
          <w:sz w:val="32"/>
          <w:szCs w:val="32"/>
        </w:rPr>
        <w:t>随州市太山路</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汉丹铁路—裕民大道</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建设项目</w:t>
      </w:r>
    </w:p>
    <w:p w14:paraId="50852CF9">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b/>
          <w:bCs/>
          <w:color w:val="000000"/>
          <w:spacing w:val="-6"/>
          <w:sz w:val="32"/>
          <w:szCs w:val="32"/>
          <w:lang w:val="en-US" w:eastAsia="zh-CN"/>
        </w:rPr>
        <w:t>三、征收范围：</w:t>
      </w:r>
      <w:r>
        <w:rPr>
          <w:rFonts w:hint="eastAsia" w:ascii="仿宋_GB2312" w:hAnsi="仿宋_GB2312" w:eastAsia="仿宋_GB2312" w:cs="仿宋_GB2312"/>
          <w:sz w:val="32"/>
          <w:szCs w:val="32"/>
        </w:rPr>
        <w:t>随州市太山路建设项目</w:t>
      </w:r>
      <w:r>
        <w:rPr>
          <w:rFonts w:hint="eastAsia" w:ascii="仿宋_GB2312" w:hAnsi="仿宋_GB2312" w:eastAsia="仿宋_GB2312" w:cs="仿宋_GB2312"/>
          <w:color w:val="000000"/>
          <w:spacing w:val="-6"/>
          <w:sz w:val="32"/>
          <w:szCs w:val="32"/>
          <w:lang w:val="en-US" w:eastAsia="zh-CN"/>
        </w:rPr>
        <w:t>规划范围内国有土地上的房屋。</w:t>
      </w:r>
    </w:p>
    <w:p w14:paraId="7FFCC1A3">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b/>
          <w:bCs/>
          <w:color w:val="000000"/>
          <w:spacing w:val="-6"/>
          <w:sz w:val="32"/>
          <w:szCs w:val="32"/>
          <w:lang w:val="en-US" w:eastAsia="zh-CN"/>
        </w:rPr>
        <w:t>四、签约时间：</w:t>
      </w:r>
      <w:r>
        <w:rPr>
          <w:rFonts w:hint="eastAsia" w:ascii="仿宋_GB2312" w:hAnsi="仿宋_GB2312" w:eastAsia="仿宋_GB2312" w:cs="仿宋_GB2312"/>
          <w:color w:val="000000"/>
          <w:spacing w:val="-6"/>
          <w:sz w:val="32"/>
          <w:szCs w:val="32"/>
          <w:lang w:val="en-US" w:eastAsia="zh-CN"/>
        </w:rPr>
        <w:t>征收期限为   天，自2025年 月 日至2025年  月   日止。</w:t>
      </w:r>
    </w:p>
    <w:p w14:paraId="64B0A9CD">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b/>
          <w:bCs/>
          <w:color w:val="000000"/>
          <w:spacing w:val="-6"/>
          <w:sz w:val="32"/>
          <w:szCs w:val="32"/>
          <w:lang w:val="en-US" w:eastAsia="zh-CN"/>
        </w:rPr>
        <w:t>五、征收主体、征收部门及实施单位</w:t>
      </w:r>
    </w:p>
    <w:p w14:paraId="79CD27A2">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征收主体：随州市曾都区人民政府</w:t>
      </w:r>
    </w:p>
    <w:p w14:paraId="328AAA74">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征收部门：</w:t>
      </w:r>
      <w:r>
        <w:rPr>
          <w:rFonts w:hint="eastAsia" w:ascii="仿宋_GB2312" w:hAnsi="仿宋_GB2312" w:eastAsia="仿宋_GB2312" w:cs="仿宋_GB2312"/>
          <w:sz w:val="32"/>
          <w:szCs w:val="32"/>
        </w:rPr>
        <w:t>曾都区城市更新发展中心</w:t>
      </w:r>
    </w:p>
    <w:p w14:paraId="19C75055">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实施单位：</w:t>
      </w:r>
      <w:bookmarkStart w:id="0" w:name="OLE_LINK7"/>
      <w:bookmarkStart w:id="1" w:name="OLE_LINK8"/>
      <w:r>
        <w:rPr>
          <w:rFonts w:hint="eastAsia" w:ascii="仿宋_GB2312" w:hAnsi="仿宋_GB2312" w:eastAsia="仿宋_GB2312" w:cs="仿宋_GB2312"/>
          <w:sz w:val="32"/>
          <w:szCs w:val="32"/>
        </w:rPr>
        <w:t>曾都经济开发区管委会</w:t>
      </w:r>
      <w:bookmarkEnd w:id="0"/>
      <w:bookmarkEnd w:id="1"/>
      <w:r>
        <w:rPr>
          <w:rFonts w:hint="eastAsia" w:ascii="仿宋_GB2312" w:hAnsi="仿宋_GB2312" w:eastAsia="仿宋_GB2312" w:cs="仿宋_GB2312"/>
          <w:sz w:val="32"/>
          <w:szCs w:val="32"/>
        </w:rPr>
        <w:t>（太山庙村委会）</w:t>
      </w:r>
    </w:p>
    <w:p w14:paraId="34DD500E">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b/>
          <w:bCs/>
          <w:color w:val="000000"/>
          <w:spacing w:val="-6"/>
          <w:sz w:val="32"/>
          <w:szCs w:val="32"/>
          <w:lang w:val="en-US" w:eastAsia="zh-CN"/>
        </w:rPr>
        <w:t>六、补偿方式及原则</w:t>
      </w:r>
    </w:p>
    <w:p w14:paraId="2185A173">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（一）企业、事业单位办公用房补偿方式</w:t>
      </w:r>
    </w:p>
    <w:p w14:paraId="09F6F876">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征收企业、事业单位办公、生产等用房和其他地上附着物以及收回国有土地使用权，按照相关文件和评估规范进行登记、评估，</w:t>
      </w:r>
      <w:r>
        <w:rPr>
          <w:rFonts w:hint="eastAsia" w:ascii="仿宋_GB2312" w:hAnsi="仿宋_GB2312" w:eastAsia="仿宋_GB2312" w:cs="仿宋_GB2312"/>
          <w:color w:val="000000"/>
          <w:spacing w:val="-6"/>
          <w:w w:val="103"/>
          <w:sz w:val="32"/>
          <w:szCs w:val="32"/>
          <w:lang w:val="en-US" w:eastAsia="zh-CN"/>
        </w:rPr>
        <w:t>原则上按照服务机构登记和评定价格实行货币补偿。评估时点为房</w:t>
      </w:r>
      <w:r>
        <w:rPr>
          <w:rFonts w:hint="eastAsia" w:ascii="仿宋_GB2312" w:hAnsi="仿宋_GB2312" w:eastAsia="仿宋_GB2312" w:cs="仿宋_GB2312"/>
          <w:color w:val="000000"/>
          <w:spacing w:val="-6"/>
          <w:sz w:val="32"/>
          <w:szCs w:val="32"/>
          <w:lang w:val="en-US" w:eastAsia="zh-CN"/>
        </w:rPr>
        <w:t>屋征收决定公告发布之日。若确需产权调换的，由被征收方向征收主体申请，在符合国民经济和社会发展规划、国土空间规划情况下择址进行产权调换。属租赁经营的由出租方负责解除租赁合同。</w:t>
      </w:r>
    </w:p>
    <w:p w14:paraId="08B2D2BF">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（二）住宅房屋补偿方式</w:t>
      </w:r>
    </w:p>
    <w:p w14:paraId="69864E7A">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采取货币补偿和产权调换两种方式，由被征收人自主选择。被征收房屋价值的补偿由选定的房地产价格评估机构现场勘查，根据被征收房屋区位、用途、成新、面积、土地使用权等因素，以征收决定发布之日被征收房屋类似房地产市场价评估确定。</w:t>
      </w:r>
    </w:p>
    <w:p w14:paraId="4369D26E">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1.货币补偿</w:t>
      </w:r>
    </w:p>
    <w:p w14:paraId="00E1CCBA">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（1）住宅房屋砖混结构补偿基准价为2321元/平方米；砖木结构补偿基准价为2021元/平方米。</w:t>
      </w:r>
    </w:p>
    <w:p w14:paraId="6089B733">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（2）被征收人在规定的时间内签约并搬迁的，按照住宅房屋评估价格的23%给予补助。</w:t>
      </w:r>
    </w:p>
    <w:p w14:paraId="7DB8F3A2">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 xml:space="preserve"> 2.产权调换</w:t>
      </w:r>
    </w:p>
    <w:p w14:paraId="1551F76A">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被征收人选择房屋产权调换的，房屋征收部门提供用于产权调换的房屋，由被征收人自主选择。</w:t>
      </w:r>
    </w:p>
    <w:p w14:paraId="23FE7499">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（1）安置房位置：</w:t>
      </w:r>
    </w:p>
    <w:p w14:paraId="4369217A">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①曾投璟园商品房、红牛小区优惠商品房；</w:t>
      </w:r>
    </w:p>
    <w:p w14:paraId="0BDBDFC2">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②</w:t>
      </w:r>
      <w:r>
        <w:rPr>
          <w:rFonts w:hint="default" w:ascii="仿宋_GB2312" w:hAnsi="仿宋_GB2312" w:eastAsia="仿宋_GB2312" w:cs="仿宋_GB2312"/>
          <w:color w:val="000000"/>
          <w:spacing w:val="-6"/>
          <w:sz w:val="32"/>
          <w:szCs w:val="32"/>
          <w:lang w:val="en-US" w:eastAsia="zh-CN"/>
        </w:rPr>
        <w:t>太山庙二期</w:t>
      </w:r>
      <w:r>
        <w:rPr>
          <w:rFonts w:hint="eastAsia" w:ascii="仿宋_GB2312" w:hAnsi="仿宋_GB2312" w:eastAsia="仿宋_GB2312" w:cs="仿宋_GB2312"/>
          <w:color w:val="000000"/>
          <w:spacing w:val="-6"/>
          <w:sz w:val="32"/>
          <w:szCs w:val="32"/>
          <w:lang w:val="en-US" w:eastAsia="zh-CN"/>
        </w:rPr>
        <w:t>安置房;</w:t>
      </w:r>
    </w:p>
    <w:p w14:paraId="23CEB955">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default" w:ascii="仿宋_GB2312" w:hAnsi="仿宋_GB2312" w:eastAsia="仿宋_GB2312" w:cs="仿宋_GB2312"/>
          <w:color w:val="000000"/>
          <w:spacing w:val="-6"/>
          <w:sz w:val="32"/>
          <w:szCs w:val="32"/>
          <w:lang w:val="en-US" w:eastAsia="zh-CN"/>
        </w:rPr>
        <w:t>③</w:t>
      </w:r>
      <w:r>
        <w:rPr>
          <w:rFonts w:hint="eastAsia" w:ascii="仿宋_GB2312" w:hAnsi="仿宋_GB2312" w:eastAsia="仿宋_GB2312" w:cs="仿宋_GB2312"/>
          <w:color w:val="000000"/>
          <w:spacing w:val="-6"/>
          <w:sz w:val="32"/>
          <w:szCs w:val="32"/>
          <w:lang w:val="en-US" w:eastAsia="zh-CN"/>
        </w:rPr>
        <w:t>城北片区优惠房源。</w:t>
      </w:r>
    </w:p>
    <w:p w14:paraId="16330A0C">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（2）安置房调换政策：</w:t>
      </w:r>
    </w:p>
    <w:p w14:paraId="7F99A24B">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按照等值调换、互找差价的原则，由评估机构分别对被征收房屋和产权调换房屋的价格进行评估，互找差价。曾投璟园商品房和</w:t>
      </w:r>
      <w:r>
        <w:rPr>
          <w:rFonts w:hint="default" w:ascii="仿宋_GB2312" w:hAnsi="仿宋_GB2312" w:eastAsia="仿宋_GB2312" w:cs="仿宋_GB2312"/>
          <w:color w:val="000000"/>
          <w:spacing w:val="-6"/>
          <w:sz w:val="32"/>
          <w:szCs w:val="32"/>
          <w:lang w:val="en-US" w:eastAsia="zh-CN"/>
        </w:rPr>
        <w:t>太山庙二期</w:t>
      </w:r>
      <w:r>
        <w:rPr>
          <w:rFonts w:hint="eastAsia" w:ascii="仿宋_GB2312" w:hAnsi="仿宋_GB2312" w:eastAsia="仿宋_GB2312" w:cs="仿宋_GB2312"/>
          <w:color w:val="000000"/>
          <w:spacing w:val="-6"/>
          <w:sz w:val="32"/>
          <w:szCs w:val="32"/>
          <w:lang w:val="en-US" w:eastAsia="zh-CN"/>
        </w:rPr>
        <w:t>安置房户型面积详见《产权调换房源明细表》（附表1）</w:t>
      </w:r>
      <w:r>
        <w:rPr>
          <w:rFonts w:hint="eastAsia" w:ascii="仿宋_GB2312" w:hAnsi="Times New Roman" w:eastAsia="仿宋_GB2312"/>
          <w:color w:val="000000"/>
          <w:sz w:val="32"/>
          <w:szCs w:val="32"/>
          <w:lang w:val="en-US" w:eastAsia="zh-CN"/>
        </w:rPr>
        <w:t>;</w:t>
      </w:r>
      <w:r>
        <w:rPr>
          <w:rFonts w:hint="eastAsia" w:ascii="仿宋_GB2312" w:hAnsi="仿宋_GB2312" w:eastAsia="仿宋_GB2312" w:cs="仿宋_GB2312"/>
          <w:color w:val="000000"/>
          <w:spacing w:val="-6"/>
          <w:sz w:val="32"/>
          <w:szCs w:val="32"/>
          <w:lang w:val="en-US" w:eastAsia="zh-CN"/>
        </w:rPr>
        <w:t>红牛小区优惠商品房及城北片区优惠房源信息、优惠价格详见《城北片区优惠房源一览表》（附表2）。</w:t>
      </w:r>
      <w:r>
        <w:rPr>
          <w:rFonts w:ascii="仿宋_GB2312" w:hAnsi="Times New Roman" w:eastAsia="仿宋_GB2312"/>
          <w:color w:val="000000"/>
          <w:sz w:val="32"/>
          <w:szCs w:val="32"/>
        </w:rPr>
        <w:t>选房户型、面积在签订征收补偿协议时由双方约定。</w:t>
      </w:r>
    </w:p>
    <w:p w14:paraId="03F16FBC">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（3）选房方式：被征收人按照征收补偿协议签定顺序和腾房交房顺序实行双百分考核，综合得分最高的（先签先腾房交房的）先选，按照征收补偿协议约定的户型、面积、套数实行轮选。</w:t>
      </w:r>
    </w:p>
    <w:p w14:paraId="54DABC64">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（4）还建房标准：按照建筑设计规范标准建设，已取得房屋竣工备案。</w:t>
      </w:r>
    </w:p>
    <w:p w14:paraId="0E04CD93">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（5）交房方式：被征收人签订产权调换协议，结清互找差价款及相关费用后，方可交房领取钥匙。</w:t>
      </w:r>
    </w:p>
    <w:p w14:paraId="6F77FF17">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（6）被征收房屋所还新房不动产权证由征收人协助办理，新房的维修基金由被征收人自行承担，物业管理按照市场化运作。</w:t>
      </w:r>
    </w:p>
    <w:p w14:paraId="6AFBFA4C">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b/>
          <w:bCs/>
          <w:color w:val="000000"/>
          <w:spacing w:val="-6"/>
          <w:sz w:val="32"/>
          <w:szCs w:val="32"/>
          <w:lang w:val="en-US" w:eastAsia="zh-CN"/>
        </w:rPr>
        <w:t>七、装饰装修和地上附着物补偿</w:t>
      </w:r>
    </w:p>
    <w:p w14:paraId="6961A586">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（一）装饰装修补偿标准与金额，由房地产专业评估机构根据被征收人的房屋装饰装修面积、用材、质量、工艺、成新、工程量大小等因素，进行现场勘查评估，按照评估确定的价值补偿。</w:t>
      </w:r>
    </w:p>
    <w:p w14:paraId="2832D163">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二）地上附着物补偿标准参照《市人民政府办公室关于公布实施随州市城区集体所有土地上建(构)筑物等地上附着物征收补偿标准的通知》（随政办发〔2022〕19号）规定执行，该文件中未予明确的，由相应的估价机构确定补偿价值。</w:t>
      </w:r>
    </w:p>
    <w:p w14:paraId="5E93D2A3">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b/>
          <w:bCs/>
          <w:color w:val="000000"/>
          <w:spacing w:val="-6"/>
          <w:sz w:val="32"/>
          <w:szCs w:val="32"/>
          <w:lang w:val="en-US" w:eastAsia="zh-CN"/>
        </w:rPr>
        <w:t>八、搬家费及其他资产补偿</w:t>
      </w:r>
    </w:p>
    <w:p w14:paraId="73F97CF3">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一）企业厂房、设备搬迁一般不突破1万元，搬迁量特别大的水电设施、设备基础、设备搬迁及其它资产由具有相应资质的评估单位评估确定；设备搬迁中的设备损失由具有相应资质的资产评估公司评估确定。未生产的企业不予补偿。</w:t>
      </w:r>
    </w:p>
    <w:p w14:paraId="6252F29F">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auto"/>
          <w:spacing w:val="-6"/>
          <w:sz w:val="32"/>
          <w:szCs w:val="32"/>
          <w:lang w:val="en-US" w:eastAsia="zh-CN"/>
        </w:rPr>
      </w:pPr>
      <w:r>
        <w:rPr>
          <w:rFonts w:hint="eastAsia" w:ascii="仿宋_GB2312" w:hAnsi="仿宋_GB2312" w:eastAsia="仿宋_GB2312" w:cs="仿宋_GB2312"/>
          <w:color w:val="auto"/>
          <w:spacing w:val="-6"/>
          <w:sz w:val="32"/>
          <w:szCs w:val="32"/>
          <w:lang w:val="en-US" w:eastAsia="zh-CN"/>
        </w:rPr>
        <w:t>（二）住房搬家费补偿标准：按照被征收住宅房屋建筑面积7元/平方米的标准补助，选择货币化补偿的计算一次搬家费;选择产权调换的计算两次搬家费。被征收住宅房屋面积不足100平方米的按照100平方米计算，一次性支付给被征收人。</w:t>
      </w:r>
    </w:p>
    <w:p w14:paraId="35A3B0AE">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color w:val="auto"/>
          <w:spacing w:val="-6"/>
          <w:sz w:val="32"/>
          <w:szCs w:val="32"/>
          <w:lang w:val="en-US" w:eastAsia="zh-CN"/>
        </w:rPr>
      </w:pPr>
      <w:r>
        <w:rPr>
          <w:rFonts w:hint="eastAsia" w:ascii="仿宋_GB2312" w:hAnsi="仿宋_GB2312" w:eastAsia="仿宋_GB2312" w:cs="仿宋_GB2312"/>
          <w:b/>
          <w:bCs/>
          <w:color w:val="auto"/>
          <w:spacing w:val="-6"/>
          <w:sz w:val="32"/>
          <w:szCs w:val="32"/>
          <w:lang w:val="en-US" w:eastAsia="zh-CN"/>
        </w:rPr>
        <w:t>九、住宅过渡方式、期限和补助费标准</w:t>
      </w:r>
    </w:p>
    <w:p w14:paraId="0263E8F5">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auto"/>
          <w:spacing w:val="-6"/>
          <w:sz w:val="32"/>
          <w:szCs w:val="32"/>
          <w:lang w:val="en-US" w:eastAsia="zh-CN"/>
        </w:rPr>
      </w:pPr>
      <w:r>
        <w:rPr>
          <w:rFonts w:hint="eastAsia" w:ascii="仿宋_GB2312" w:hAnsi="仿宋_GB2312" w:eastAsia="仿宋_GB2312" w:cs="仿宋_GB2312"/>
          <w:color w:val="auto"/>
          <w:spacing w:val="-6"/>
          <w:sz w:val="32"/>
          <w:szCs w:val="32"/>
          <w:lang w:val="en-US" w:eastAsia="zh-CN"/>
        </w:rPr>
        <w:t>（一）过渡方式：被征收人自找房屋过渡。</w:t>
      </w:r>
    </w:p>
    <w:p w14:paraId="2A4EFAF3">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auto"/>
          <w:spacing w:val="-6"/>
          <w:sz w:val="32"/>
          <w:szCs w:val="32"/>
          <w:lang w:val="en-US" w:eastAsia="zh-CN"/>
        </w:rPr>
      </w:pPr>
      <w:r>
        <w:rPr>
          <w:rFonts w:hint="eastAsia" w:ascii="仿宋_GB2312" w:hAnsi="仿宋_GB2312" w:eastAsia="仿宋_GB2312" w:cs="仿宋_GB2312"/>
          <w:color w:val="auto"/>
          <w:spacing w:val="-6"/>
          <w:sz w:val="32"/>
          <w:szCs w:val="32"/>
          <w:lang w:val="en-US" w:eastAsia="zh-CN"/>
        </w:rPr>
        <w:t>（二）补助标准：按照被征收住宅房屋建筑面积6元/平方米·月的标准一次性支付,被征收住宅房屋有效建筑面积不足100平方米的按照100平方米计算过渡费。</w:t>
      </w:r>
    </w:p>
    <w:p w14:paraId="7D6908EC">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auto"/>
          <w:spacing w:val="-6"/>
          <w:sz w:val="32"/>
          <w:szCs w:val="32"/>
          <w:lang w:val="en-US" w:eastAsia="zh-CN"/>
        </w:rPr>
        <w:t>（三）过渡期限：</w:t>
      </w:r>
      <w:r>
        <w:rPr>
          <w:rFonts w:hint="eastAsia" w:ascii="仿宋_GB2312" w:hAnsi="仿宋_GB2312" w:eastAsia="仿宋_GB2312" w:cs="仿宋_GB2312"/>
          <w:color w:val="auto"/>
          <w:sz w:val="32"/>
          <w:szCs w:val="32"/>
        </w:rPr>
        <w:t>选择货币补偿</w:t>
      </w:r>
      <w:r>
        <w:rPr>
          <w:rFonts w:hint="eastAsia" w:ascii="仿宋_GB2312" w:hAnsi="仿宋_GB2312" w:eastAsia="仿宋_GB2312" w:cs="仿宋_GB2312"/>
          <w:color w:val="auto"/>
          <w:sz w:val="32"/>
          <w:szCs w:val="32"/>
          <w:lang w:val="en-US" w:eastAsia="zh-CN"/>
        </w:rPr>
        <w:t>或现房调换的，</w:t>
      </w:r>
      <w:r>
        <w:rPr>
          <w:rFonts w:hint="eastAsia" w:ascii="仿宋_GB2312" w:hAnsi="仿宋_GB2312" w:eastAsia="仿宋_GB2312" w:cs="仿宋_GB2312"/>
          <w:color w:val="auto"/>
          <w:sz w:val="32"/>
          <w:szCs w:val="32"/>
        </w:rPr>
        <w:t>过渡期为</w:t>
      </w:r>
      <w:r>
        <w:rPr>
          <w:rFonts w:hint="eastAsia" w:ascii="仿宋_GB2312" w:hAnsi="仿宋_GB2312" w:eastAsia="仿宋_GB2312" w:cs="仿宋_GB2312"/>
          <w:sz w:val="32"/>
          <w:szCs w:val="32"/>
        </w:rPr>
        <w:t>6个月。未能按期还房的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过渡费按原标准顺延。</w:t>
      </w:r>
    </w:p>
    <w:p w14:paraId="7A3042DD">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default" w:ascii="仿宋_GB2312" w:hAnsi="仿宋_GB2312" w:eastAsia="仿宋_GB2312" w:cs="仿宋_GB2312"/>
          <w:b/>
          <w:bCs/>
          <w:color w:val="000000"/>
          <w:spacing w:val="-6"/>
          <w:sz w:val="32"/>
          <w:szCs w:val="32"/>
          <w:lang w:val="en-US" w:eastAsia="zh-CN"/>
        </w:rPr>
      </w:pPr>
      <w:r>
        <w:rPr>
          <w:rFonts w:hint="eastAsia" w:ascii="仿宋_GB2312" w:hAnsi="仿宋_GB2312" w:eastAsia="仿宋_GB2312" w:cs="仿宋_GB2312"/>
          <w:b/>
          <w:bCs/>
          <w:color w:val="000000"/>
          <w:spacing w:val="-6"/>
          <w:sz w:val="32"/>
          <w:szCs w:val="32"/>
          <w:lang w:val="en-US" w:eastAsia="zh-CN"/>
        </w:rPr>
        <w:t>十、奖惩办法</w:t>
      </w:r>
    </w:p>
    <w:p w14:paraId="10E8367E">
      <w:pPr>
        <w:keepNext w:val="0"/>
        <w:keepLines w:val="0"/>
        <w:pageBreakBefore w:val="0"/>
        <w:widowControl w:val="0"/>
        <w:wordWrap/>
        <w:bidi w:val="0"/>
        <w:spacing w:line="600" w:lineRule="exact"/>
        <w:ind w:left="0" w:leftChars="0" w:firstLine="628" w:firstLineChars="200"/>
        <w:jc w:val="both"/>
        <w:rPr>
          <w:rFonts w:hint="default" w:ascii="Times New Roman" w:hAnsi="Times New Roman" w:eastAsia="仿宋_GB2312" w:cs="Times New Roman"/>
          <w:color w:val="auto"/>
          <w:spacing w:val="-3"/>
          <w:sz w:val="32"/>
          <w:szCs w:val="32"/>
          <w:lang w:val="en-US" w:eastAsia="zh-CN"/>
        </w:rPr>
      </w:pPr>
      <w:r>
        <w:rPr>
          <w:rFonts w:hint="default" w:ascii="Times New Roman" w:hAnsi="Times New Roman" w:eastAsia="仿宋_GB2312" w:cs="Times New Roman"/>
          <w:color w:val="auto"/>
          <w:spacing w:val="-3"/>
          <w:sz w:val="32"/>
          <w:szCs w:val="32"/>
          <w:lang w:val="en-US" w:eastAsia="zh-CN"/>
        </w:rPr>
        <w:t>按照征收</w:t>
      </w:r>
      <w:r>
        <w:rPr>
          <w:rFonts w:hint="eastAsia" w:ascii="Times New Roman" w:hAnsi="Times New Roman" w:eastAsia="仿宋_GB2312" w:cs="Times New Roman"/>
          <w:color w:val="auto"/>
          <w:spacing w:val="-3"/>
          <w:sz w:val="32"/>
          <w:szCs w:val="32"/>
          <w:lang w:val="en-US" w:eastAsia="zh-CN"/>
        </w:rPr>
        <w:t>决定</w:t>
      </w:r>
      <w:r>
        <w:rPr>
          <w:rFonts w:hint="default" w:ascii="Times New Roman" w:hAnsi="Times New Roman" w:eastAsia="仿宋_GB2312" w:cs="Times New Roman"/>
          <w:color w:val="auto"/>
          <w:spacing w:val="-3"/>
          <w:sz w:val="32"/>
          <w:szCs w:val="32"/>
          <w:lang w:val="en-US" w:eastAsia="zh-CN"/>
        </w:rPr>
        <w:t>公告规定的征收期限，被征收人在协议签订后15日内搬迁并腾空交付房屋的，给予每户4000元奖励；16日至25日内搬迁完毕的，给予每户2000元奖励；超过25日的不予奖励。</w:t>
      </w:r>
    </w:p>
    <w:p w14:paraId="6053DE88">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b/>
          <w:bCs/>
          <w:color w:val="000000"/>
          <w:spacing w:val="-6"/>
          <w:sz w:val="32"/>
          <w:szCs w:val="32"/>
          <w:lang w:val="en-US" w:eastAsia="zh-CN"/>
        </w:rPr>
      </w:pPr>
      <w:r>
        <w:rPr>
          <w:rFonts w:hint="eastAsia" w:ascii="仿宋_GB2312" w:hAnsi="仿宋_GB2312" w:eastAsia="仿宋_GB2312" w:cs="仿宋_GB2312"/>
          <w:b/>
          <w:bCs/>
          <w:color w:val="000000"/>
          <w:spacing w:val="-6"/>
          <w:sz w:val="32"/>
          <w:szCs w:val="32"/>
          <w:lang w:val="en-US" w:eastAsia="zh-CN"/>
        </w:rPr>
        <w:t>十一、停产停业损失补偿标准</w:t>
      </w:r>
    </w:p>
    <w:p w14:paraId="4BCE0C7C">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因征收造成停产停业损失的补偿，由征收双方根据其征收前的纳税情况、经营规模、停产停业期限（停产停业期限计算办法，实行货币补偿方式的不超过6个月，实行产权调换方式的按照征收补偿协议约定的过渡期限计算）等因素协商确定，协商不成的可以委托具有相应资质的资产评估机构评估确定。</w:t>
      </w:r>
    </w:p>
    <w:p w14:paraId="2F1F7D98">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b/>
          <w:bCs/>
          <w:color w:val="000000"/>
          <w:spacing w:val="-6"/>
          <w:sz w:val="32"/>
          <w:szCs w:val="32"/>
          <w:lang w:val="en-US" w:eastAsia="zh-CN"/>
        </w:rPr>
        <w:t>十二、不作补偿的范围和对象</w:t>
      </w:r>
    </w:p>
    <w:p w14:paraId="03C1FBB2">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（一）自然资源和规划部门认定为非法新建的房屋及建筑物。</w:t>
      </w:r>
    </w:p>
    <w:p w14:paraId="691354AA">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（二）决定发布或征收工作专班进场调查登记后改建、扩建、装饰装修的。</w:t>
      </w:r>
    </w:p>
    <w:p w14:paraId="67F965E7">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（三）违法建筑和超过批准使用期限的临时货棚、临时建筑。</w:t>
      </w:r>
    </w:p>
    <w:p w14:paraId="7AAF07F4">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（四）其他不符合补偿条件的。</w:t>
      </w:r>
    </w:p>
    <w:p w14:paraId="7A5DCEAE">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b/>
          <w:bCs/>
          <w:color w:val="000000"/>
          <w:spacing w:val="-6"/>
          <w:sz w:val="32"/>
          <w:szCs w:val="32"/>
          <w:lang w:val="en-US" w:eastAsia="zh-CN"/>
        </w:rPr>
        <w:t>十三、付款方式</w:t>
      </w:r>
    </w:p>
    <w:p w14:paraId="6E770119">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（一）征收企业、事业单位办公用房。由征收单位与被征收人协商，具体付款方式以房屋征收补偿协议书约定为准。征收补偿所得资金，由被征收人按现行国家法律法规，自行承担相关税费。</w:t>
      </w:r>
    </w:p>
    <w:p w14:paraId="176ADA64">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二）征收住宅房屋。交出产权证或产权确认证明后，支付被征收人补偿资金总额的50%,待被征收人在协议规定的时间内搬出，并达到拆除条件，一次性付清被征收人剩余资金。若被征收人在协议规定期内不能按期搬出，征收方有权扣除被征收人相应奖励。</w:t>
      </w:r>
    </w:p>
    <w:p w14:paraId="27A75AF4">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b/>
          <w:bCs/>
          <w:color w:val="000000"/>
          <w:spacing w:val="-6"/>
          <w:sz w:val="32"/>
          <w:szCs w:val="32"/>
          <w:lang w:val="en-US" w:eastAsia="zh-CN"/>
        </w:rPr>
        <w:t>十四、其他事项</w:t>
      </w:r>
    </w:p>
    <w:p w14:paraId="734F0FA3">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（一）设立抵押权和被法院查封的房屋，按照相关法律法规执行。</w:t>
      </w:r>
    </w:p>
    <w:p w14:paraId="73DFE36A">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二）被征收房屋及地上附着物存在租赁关系的，只对产权人给予补偿，产权人依据其与承租人的约定执行。被征收人负责解除租赁合同，在租赁双方因解除房屋租赁合同而引发的经济补偿和法律责任未明确前，相关补偿款交由第三方机构提存保管。</w:t>
      </w:r>
    </w:p>
    <w:p w14:paraId="61DE29A9">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（三）被征收人应当积极配合征收工作专班做好房屋面积测量、评估资料核对工作，并提供相关资料手续。</w:t>
      </w:r>
    </w:p>
    <w:p w14:paraId="707AE512">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（四）被征收人应当做好水、电等费用结算并办理报停手续，若发生纠纷由被征收人负责解决，一切责任事故自负。</w:t>
      </w:r>
    </w:p>
    <w:p w14:paraId="040D541F">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（五）被征收人必须按照补偿协议约定的时间搬迁交房。逾期未交房的，由被征收人承担违约责任。</w:t>
      </w:r>
    </w:p>
    <w:p w14:paraId="7F53E361">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（六）签订补偿协议时，被征收人必须亲自到场办理手续。无法前来办理的，由被征收人的受委托人，持经公证机关公证的委托书及双方身份证原件和复印件办理手续。</w:t>
      </w:r>
    </w:p>
    <w:p w14:paraId="150626B3">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（七）签订补偿协议时，被征收人必须将《房屋所有权证》《土地使用证》或《不动产权证》等相关权属证明手续交予征收工作专班。</w:t>
      </w:r>
    </w:p>
    <w:p w14:paraId="179A9895">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（八）被征收人不得毁坏或拆除房屋及附属设施，腾空所有资产后，房屋及附属设施按照原貌交付征收方。</w:t>
      </w:r>
    </w:p>
    <w:p w14:paraId="2420539B">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（九）被征收人符合就地城镇化住房保障政策的，可以享受激励政策。</w:t>
      </w:r>
    </w:p>
    <w:p w14:paraId="0B65983E">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十）房屋无手续、无证或房屋合法性、用途有争议的，由征收主体组织相关单位进行房屋认定，按照认定的房屋面积、性质、用途补偿。产权不明确的房屋，补偿前应当就被征收房屋的有关事项经公证机关办理证据保全。</w:t>
      </w:r>
    </w:p>
    <w:p w14:paraId="1661FAEE">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（十一）本次征收中，若遇特殊的重大事项，采取“一事一议”办法，报重点项目征收工作指挥部集体研判。</w:t>
      </w:r>
    </w:p>
    <w:p w14:paraId="5F54934F">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（十二）本方案自征收决定发布之日起实施，未尽事宜可以采取补充方案说明，补充方案与本方案有同等效力。</w:t>
      </w:r>
    </w:p>
    <w:p w14:paraId="22226906">
      <w:pPr>
        <w:rPr>
          <w:rFonts w:hint="eastAsia"/>
          <w:lang w:val="en-US" w:eastAsia="zh-CN"/>
        </w:rPr>
      </w:pPr>
    </w:p>
    <w:p w14:paraId="3ABDB6F8">
      <w:pPr>
        <w:keepNext w:val="0"/>
        <w:keepLines w:val="0"/>
        <w:pageBreakBefore w:val="0"/>
        <w:widowControl w:val="0"/>
        <w:wordWrap/>
        <w:bidi w:val="0"/>
        <w:spacing w:line="560" w:lineRule="exact"/>
        <w:ind w:firstLine="1232" w:firstLineChars="400"/>
        <w:jc w:val="both"/>
        <w:rPr>
          <w:rFonts w:hint="eastAsia" w:ascii="黑体" w:hAnsi="黑体" w:eastAsia="黑体" w:cs="黑体"/>
          <w:color w:val="000000"/>
          <w:spacing w:val="-6"/>
          <w:sz w:val="32"/>
          <w:szCs w:val="32"/>
          <w:lang w:val="en-US" w:eastAsia="zh-CN"/>
        </w:rPr>
      </w:pPr>
    </w:p>
    <w:p w14:paraId="4085BAF2">
      <w:pPr>
        <w:keepNext w:val="0"/>
        <w:keepLines w:val="0"/>
        <w:pageBreakBefore w:val="0"/>
        <w:widowControl w:val="0"/>
        <w:wordWrap/>
        <w:bidi w:val="0"/>
        <w:spacing w:line="560" w:lineRule="exact"/>
        <w:ind w:firstLine="1232" w:firstLineChars="400"/>
        <w:jc w:val="both"/>
        <w:rPr>
          <w:rFonts w:hint="eastAsia" w:ascii="黑体" w:hAnsi="黑体" w:eastAsia="黑体" w:cs="黑体"/>
          <w:color w:val="000000"/>
          <w:spacing w:val="-6"/>
          <w:sz w:val="32"/>
          <w:szCs w:val="32"/>
          <w:lang w:val="en-US" w:eastAsia="zh-CN"/>
        </w:rPr>
      </w:pPr>
    </w:p>
    <w:p w14:paraId="7B403B95">
      <w:pPr>
        <w:keepNext w:val="0"/>
        <w:keepLines w:val="0"/>
        <w:pageBreakBefore w:val="0"/>
        <w:widowControl w:val="0"/>
        <w:wordWrap/>
        <w:bidi w:val="0"/>
        <w:spacing w:line="560" w:lineRule="exact"/>
        <w:ind w:firstLine="640" w:firstLineChars="200"/>
        <w:jc w:val="both"/>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附表：</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color w:val="000000"/>
          <w:sz w:val="32"/>
          <w:szCs w:val="32"/>
          <w:lang w:val="en-US" w:eastAsia="zh-CN"/>
        </w:rPr>
        <w:t>太山路建设项目房屋征收产权调换房源明细表</w:t>
      </w:r>
    </w:p>
    <w:p w14:paraId="1267A7C2">
      <w:pPr>
        <w:keepNext w:val="0"/>
        <w:keepLines w:val="0"/>
        <w:pageBreakBefore w:val="0"/>
        <w:widowControl w:val="0"/>
        <w:wordWrap/>
        <w:bidi w:val="0"/>
        <w:spacing w:line="560" w:lineRule="exact"/>
        <w:ind w:firstLine="1600" w:firstLineChars="500"/>
        <w:jc w:val="both"/>
        <w:rPr>
          <w:rFonts w:hint="eastAsia" w:ascii="黑体" w:hAnsi="黑体" w:eastAsia="黑体" w:cs="黑体"/>
          <w:color w:val="000000"/>
          <w:spacing w:val="-6"/>
          <w:sz w:val="32"/>
          <w:szCs w:val="32"/>
          <w:lang w:val="en-US" w:eastAsia="zh-CN"/>
        </w:rPr>
      </w:pPr>
      <w:r>
        <w:rPr>
          <w:rFonts w:hint="eastAsia" w:ascii="仿宋_GB2312" w:hAnsi="仿宋_GB2312" w:eastAsia="仿宋_GB2312" w:cs="仿宋_GB2312"/>
          <w:color w:val="000000"/>
          <w:sz w:val="32"/>
          <w:szCs w:val="32"/>
          <w:lang w:val="en-US" w:eastAsia="zh-CN"/>
        </w:rPr>
        <w:t>2.城北片区优惠房源一览表</w:t>
      </w:r>
    </w:p>
    <w:p w14:paraId="4392B18A">
      <w:pPr>
        <w:keepNext w:val="0"/>
        <w:keepLines w:val="0"/>
        <w:pageBreakBefore w:val="0"/>
        <w:widowControl w:val="0"/>
        <w:wordWrap/>
        <w:bidi w:val="0"/>
        <w:spacing w:line="560" w:lineRule="exact"/>
        <w:jc w:val="both"/>
        <w:rPr>
          <w:rFonts w:hint="default" w:ascii="黑体" w:hAnsi="黑体" w:eastAsia="黑体" w:cs="黑体"/>
          <w:color w:val="000000"/>
          <w:spacing w:val="-6"/>
          <w:sz w:val="32"/>
          <w:szCs w:val="32"/>
          <w:lang w:val="en-US" w:eastAsia="zh-CN"/>
        </w:rPr>
      </w:pPr>
    </w:p>
    <w:p w14:paraId="0A637C32">
      <w:pPr>
        <w:spacing w:line="560" w:lineRule="exact"/>
        <w:rPr>
          <w:rFonts w:ascii="Times New Roman" w:hAnsi="Times New Roman" w:eastAsia="黑体"/>
          <w:color w:val="000000"/>
          <w:sz w:val="32"/>
          <w:szCs w:val="32"/>
        </w:rPr>
      </w:pPr>
    </w:p>
    <w:p w14:paraId="14398CB8">
      <w:pPr>
        <w:spacing w:line="560" w:lineRule="exact"/>
        <w:rPr>
          <w:rFonts w:ascii="Times New Roman" w:hAnsi="Times New Roman" w:eastAsia="黑体"/>
          <w:color w:val="000000"/>
          <w:sz w:val="32"/>
          <w:szCs w:val="32"/>
        </w:rPr>
      </w:pPr>
      <w:r>
        <w:rPr>
          <w:rFonts w:ascii="Times New Roman" w:hAnsi="Times New Roman" w:eastAsia="黑体"/>
          <w:color w:val="000000"/>
          <w:sz w:val="32"/>
          <w:szCs w:val="32"/>
        </w:rPr>
        <w:t>附</w:t>
      </w:r>
      <w:r>
        <w:rPr>
          <w:rFonts w:hint="eastAsia" w:ascii="Times New Roman" w:hAnsi="Times New Roman" w:eastAsia="黑体"/>
          <w:color w:val="000000"/>
          <w:sz w:val="32"/>
          <w:szCs w:val="32"/>
          <w:lang w:val="en-US" w:eastAsia="zh-CN"/>
        </w:rPr>
        <w:t>表1</w:t>
      </w:r>
      <w:r>
        <w:rPr>
          <w:rFonts w:ascii="Times New Roman" w:hAnsi="Times New Roman" w:eastAsia="黑体"/>
          <w:color w:val="000000"/>
          <w:sz w:val="32"/>
          <w:szCs w:val="32"/>
        </w:rPr>
        <w:t>：</w:t>
      </w:r>
    </w:p>
    <w:p w14:paraId="2AC563CA">
      <w:pPr>
        <w:overflowPunct w:val="0"/>
        <w:topLinePunct/>
        <w:spacing w:line="560" w:lineRule="exact"/>
        <w:ind w:firstLine="640" w:firstLineChars="200"/>
        <w:rPr>
          <w:rFonts w:ascii="Times New Roman" w:hAnsi="Times New Roman" w:eastAsia="黑体"/>
          <w:color w:val="000000"/>
          <w:sz w:val="32"/>
          <w:szCs w:val="32"/>
        </w:rPr>
      </w:pPr>
    </w:p>
    <w:p w14:paraId="7D29D08A">
      <w:pPr>
        <w:spacing w:line="560" w:lineRule="exact"/>
        <w:jc w:val="center"/>
        <w:rPr>
          <w:rFonts w:hint="eastAsia" w:ascii="方正小标宋简体" w:hAnsi="Times New Roman" w:eastAsia="方正小标宋简体"/>
          <w:color w:val="000000"/>
          <w:spacing w:val="-6"/>
          <w:sz w:val="44"/>
          <w:szCs w:val="44"/>
        </w:rPr>
      </w:pPr>
      <w:r>
        <w:rPr>
          <w:rFonts w:hint="eastAsia" w:ascii="方正小标宋简体" w:hAnsi="Times New Roman" w:eastAsia="方正小标宋简体"/>
          <w:color w:val="000000"/>
          <w:spacing w:val="-6"/>
          <w:sz w:val="44"/>
          <w:szCs w:val="44"/>
        </w:rPr>
        <w:t>太山路建设项目房屋征收产权调换</w:t>
      </w:r>
    </w:p>
    <w:p w14:paraId="625AE0AB">
      <w:pPr>
        <w:spacing w:line="560" w:lineRule="exact"/>
        <w:jc w:val="center"/>
        <w:rPr>
          <w:rFonts w:ascii="方正小标宋简体" w:hAnsi="Times New Roman" w:eastAsia="方正小标宋简体"/>
          <w:color w:val="000000"/>
          <w:spacing w:val="-6"/>
          <w:sz w:val="44"/>
          <w:szCs w:val="44"/>
        </w:rPr>
      </w:pPr>
      <w:r>
        <w:rPr>
          <w:rFonts w:hint="eastAsia" w:ascii="方正小标宋简体" w:hAnsi="Times New Roman" w:eastAsia="方正小标宋简体"/>
          <w:color w:val="000000"/>
          <w:spacing w:val="-6"/>
          <w:sz w:val="44"/>
          <w:szCs w:val="44"/>
        </w:rPr>
        <w:t>房源明细表</w:t>
      </w:r>
    </w:p>
    <w:p w14:paraId="5834F231">
      <w:pPr>
        <w:overflowPunct w:val="0"/>
        <w:topLinePunct/>
        <w:spacing w:line="560" w:lineRule="exact"/>
        <w:rPr>
          <w:rFonts w:ascii="仿宋_GB2312" w:hAnsi="仿宋_GB2312" w:eastAsia="仿宋_GB2312" w:cs="仿宋_GB2312"/>
          <w:sz w:val="32"/>
          <w:szCs w:val="32"/>
        </w:rPr>
      </w:pPr>
    </w:p>
    <w:tbl>
      <w:tblPr>
        <w:tblStyle w:val="7"/>
        <w:tblpPr w:leftFromText="180" w:rightFromText="180" w:vertAnchor="text" w:horzAnchor="page" w:tblpX="1487" w:tblpY="643"/>
        <w:tblOverlap w:val="never"/>
        <w:tblW w:w="910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00"/>
        <w:gridCol w:w="1000"/>
        <w:gridCol w:w="1047"/>
        <w:gridCol w:w="973"/>
        <w:gridCol w:w="973"/>
        <w:gridCol w:w="973"/>
        <w:gridCol w:w="973"/>
        <w:gridCol w:w="978"/>
        <w:gridCol w:w="783"/>
      </w:tblGrid>
      <w:tr w14:paraId="5B7D73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57" w:hRule="atLeast"/>
        </w:trPr>
        <w:tc>
          <w:tcPr>
            <w:tcW w:w="1400" w:type="dxa"/>
            <w:tcBorders>
              <w:tl2br w:val="nil"/>
              <w:tr2bl w:val="nil"/>
            </w:tcBorders>
            <w:noWrap w:val="0"/>
            <w:vAlign w:val="center"/>
          </w:tcPr>
          <w:p w14:paraId="293992C8">
            <w:pPr>
              <w:keepNext w:val="0"/>
              <w:keepLines w:val="0"/>
              <w:pageBreakBefore w:val="0"/>
              <w:widowControl w:val="0"/>
              <w:wordWrap/>
              <w:bidi w:val="0"/>
              <w:spacing w:line="560" w:lineRule="exact"/>
              <w:jc w:val="center"/>
              <w:rPr>
                <w:rFonts w:hint="eastAsia" w:ascii="黑体" w:hAnsi="黑体" w:eastAsia="黑体" w:cs="黑体"/>
                <w:b w:val="0"/>
                <w:bCs w:val="0"/>
                <w:sz w:val="24"/>
                <w:lang w:val="en-US" w:eastAsia="zh-CN"/>
              </w:rPr>
            </w:pPr>
            <w:r>
              <w:rPr>
                <w:rFonts w:hint="eastAsia" w:ascii="黑体" w:hAnsi="黑体" w:eastAsia="黑体" w:cs="黑体"/>
                <w:b w:val="0"/>
                <w:bCs w:val="0"/>
                <w:sz w:val="24"/>
                <w:lang w:val="en-US" w:eastAsia="zh-CN"/>
              </w:rPr>
              <w:t xml:space="preserve">    面积</w:t>
            </w:r>
          </w:p>
          <w:p w14:paraId="1466A7D1">
            <w:pPr>
              <w:keepNext w:val="0"/>
              <w:keepLines w:val="0"/>
              <w:pageBreakBefore w:val="0"/>
              <w:widowControl w:val="0"/>
              <w:wordWrap/>
              <w:bidi w:val="0"/>
              <w:spacing w:line="560" w:lineRule="exact"/>
              <w:jc w:val="both"/>
              <w:rPr>
                <w:rFonts w:hint="eastAsia" w:ascii="黑体" w:hAnsi="黑体" w:eastAsia="黑体" w:cs="黑体"/>
                <w:b w:val="0"/>
                <w:bCs w:val="0"/>
                <w:sz w:val="24"/>
                <w:lang w:val="en-US" w:eastAsia="zh-CN"/>
              </w:rPr>
            </w:pPr>
            <w:r>
              <w:rPr>
                <w:rFonts w:hint="eastAsia" w:ascii="黑体" w:hAnsi="黑体" w:eastAsia="黑体" w:cs="黑体"/>
                <w:b w:val="0"/>
                <w:bCs w:val="0"/>
                <w:sz w:val="24"/>
                <w:lang w:val="en-US" w:eastAsia="zh-CN"/>
              </w:rPr>
              <w:t>安置点</w:t>
            </w:r>
          </w:p>
        </w:tc>
        <w:tc>
          <w:tcPr>
            <w:tcW w:w="1000" w:type="dxa"/>
            <w:tcBorders>
              <w:tl2br w:val="nil"/>
              <w:tr2bl w:val="nil"/>
            </w:tcBorders>
            <w:noWrap w:val="0"/>
            <w:vAlign w:val="center"/>
          </w:tcPr>
          <w:p w14:paraId="6AE3F0CD">
            <w:pPr>
              <w:keepNext w:val="0"/>
              <w:keepLines w:val="0"/>
              <w:pageBreakBefore w:val="0"/>
              <w:widowControl w:val="0"/>
              <w:wordWrap/>
              <w:bidi w:val="0"/>
              <w:spacing w:line="560" w:lineRule="exact"/>
              <w:jc w:val="center"/>
              <w:rPr>
                <w:rFonts w:hint="eastAsia" w:ascii="黑体" w:hAnsi="黑体" w:eastAsia="黑体" w:cs="黑体"/>
                <w:b w:val="0"/>
                <w:bCs w:val="0"/>
                <w:sz w:val="24"/>
                <w:lang w:val="en-US" w:eastAsia="zh-CN"/>
              </w:rPr>
            </w:pPr>
            <w:r>
              <w:rPr>
                <w:rFonts w:hint="eastAsia" w:ascii="黑体" w:hAnsi="黑体" w:eastAsia="黑体" w:cs="黑体"/>
                <w:b w:val="0"/>
                <w:bCs w:val="0"/>
                <w:sz w:val="24"/>
                <w:lang w:val="en-US" w:eastAsia="zh-CN"/>
              </w:rPr>
              <w:t>97</w:t>
            </w:r>
          </w:p>
          <w:p w14:paraId="7DECCFB4">
            <w:pPr>
              <w:keepNext w:val="0"/>
              <w:keepLines w:val="0"/>
              <w:pageBreakBefore w:val="0"/>
              <w:widowControl w:val="0"/>
              <w:wordWrap/>
              <w:bidi w:val="0"/>
              <w:spacing w:line="560" w:lineRule="exact"/>
              <w:jc w:val="center"/>
              <w:rPr>
                <w:rFonts w:hint="default" w:ascii="黑体" w:hAnsi="黑体" w:eastAsia="黑体" w:cs="黑体"/>
                <w:b w:val="0"/>
                <w:bCs w:val="0"/>
                <w:sz w:val="24"/>
                <w:lang w:val="en-US" w:eastAsia="zh-CN"/>
              </w:rPr>
            </w:pPr>
            <w:r>
              <w:rPr>
                <w:rFonts w:hint="eastAsia" w:ascii="黑体" w:hAnsi="黑体" w:eastAsia="黑体" w:cs="黑体"/>
                <w:b w:val="0"/>
                <w:bCs w:val="0"/>
                <w:sz w:val="24"/>
                <w:lang w:val="en-US" w:eastAsia="zh-CN"/>
              </w:rPr>
              <w:t>平方米</w:t>
            </w:r>
          </w:p>
        </w:tc>
        <w:tc>
          <w:tcPr>
            <w:tcW w:w="1047" w:type="dxa"/>
            <w:tcBorders>
              <w:tl2br w:val="nil"/>
              <w:tr2bl w:val="nil"/>
            </w:tcBorders>
            <w:noWrap w:val="0"/>
            <w:vAlign w:val="center"/>
          </w:tcPr>
          <w:p w14:paraId="5357962C">
            <w:pPr>
              <w:keepNext w:val="0"/>
              <w:keepLines w:val="0"/>
              <w:pageBreakBefore w:val="0"/>
              <w:widowControl w:val="0"/>
              <w:wordWrap/>
              <w:bidi w:val="0"/>
              <w:spacing w:line="560" w:lineRule="exact"/>
              <w:jc w:val="center"/>
              <w:rPr>
                <w:rFonts w:hint="default" w:ascii="黑体" w:hAnsi="黑体" w:eastAsia="黑体" w:cs="黑体"/>
                <w:b w:val="0"/>
                <w:bCs w:val="0"/>
                <w:sz w:val="24"/>
                <w:lang w:val="en-US" w:eastAsia="zh-CN"/>
              </w:rPr>
            </w:pPr>
            <w:r>
              <w:rPr>
                <w:rFonts w:hint="eastAsia" w:ascii="黑体" w:hAnsi="黑体" w:eastAsia="黑体" w:cs="黑体"/>
                <w:b w:val="0"/>
                <w:bCs w:val="0"/>
                <w:sz w:val="24"/>
                <w:lang w:val="en-US" w:eastAsia="zh-CN"/>
              </w:rPr>
              <w:t>110</w:t>
            </w:r>
          </w:p>
          <w:p w14:paraId="1F1DF11A">
            <w:pPr>
              <w:keepNext w:val="0"/>
              <w:keepLines w:val="0"/>
              <w:pageBreakBefore w:val="0"/>
              <w:widowControl w:val="0"/>
              <w:wordWrap/>
              <w:bidi w:val="0"/>
              <w:spacing w:line="560" w:lineRule="exact"/>
              <w:jc w:val="center"/>
              <w:rPr>
                <w:rFonts w:hint="default" w:ascii="黑体" w:hAnsi="黑体" w:eastAsia="黑体" w:cs="黑体"/>
                <w:b w:val="0"/>
                <w:bCs w:val="0"/>
                <w:sz w:val="24"/>
                <w:lang w:val="en-US" w:eastAsia="zh-CN"/>
              </w:rPr>
            </w:pPr>
            <w:r>
              <w:rPr>
                <w:rFonts w:hint="eastAsia" w:ascii="黑体" w:hAnsi="黑体" w:eastAsia="黑体" w:cs="黑体"/>
                <w:b w:val="0"/>
                <w:bCs w:val="0"/>
                <w:sz w:val="24"/>
                <w:lang w:val="en-US" w:eastAsia="zh-CN"/>
              </w:rPr>
              <w:t>平方米</w:t>
            </w:r>
          </w:p>
        </w:tc>
        <w:tc>
          <w:tcPr>
            <w:tcW w:w="973" w:type="dxa"/>
            <w:tcBorders>
              <w:tl2br w:val="nil"/>
              <w:tr2bl w:val="nil"/>
            </w:tcBorders>
            <w:noWrap w:val="0"/>
            <w:vAlign w:val="center"/>
          </w:tcPr>
          <w:p w14:paraId="0FB1DE2F">
            <w:pPr>
              <w:keepNext w:val="0"/>
              <w:keepLines w:val="0"/>
              <w:pageBreakBefore w:val="0"/>
              <w:widowControl w:val="0"/>
              <w:wordWrap/>
              <w:bidi w:val="0"/>
              <w:spacing w:line="560" w:lineRule="exact"/>
              <w:jc w:val="center"/>
              <w:rPr>
                <w:rFonts w:hint="default" w:ascii="黑体" w:hAnsi="黑体" w:eastAsia="黑体" w:cs="黑体"/>
                <w:b w:val="0"/>
                <w:bCs w:val="0"/>
                <w:sz w:val="24"/>
                <w:lang w:val="en-US" w:eastAsia="zh-CN"/>
              </w:rPr>
            </w:pPr>
            <w:r>
              <w:rPr>
                <w:rFonts w:hint="eastAsia" w:ascii="黑体" w:hAnsi="黑体" w:eastAsia="黑体" w:cs="黑体"/>
                <w:b w:val="0"/>
                <w:bCs w:val="0"/>
                <w:sz w:val="24"/>
                <w:lang w:val="en-US" w:eastAsia="zh-CN"/>
              </w:rPr>
              <w:t>114</w:t>
            </w:r>
          </w:p>
          <w:p w14:paraId="15374DF4">
            <w:pPr>
              <w:keepNext w:val="0"/>
              <w:keepLines w:val="0"/>
              <w:pageBreakBefore w:val="0"/>
              <w:widowControl w:val="0"/>
              <w:wordWrap/>
              <w:bidi w:val="0"/>
              <w:spacing w:line="560" w:lineRule="exact"/>
              <w:jc w:val="center"/>
              <w:rPr>
                <w:rFonts w:hint="default" w:ascii="黑体" w:hAnsi="黑体" w:eastAsia="黑体" w:cs="黑体"/>
                <w:b w:val="0"/>
                <w:bCs w:val="0"/>
                <w:sz w:val="24"/>
                <w:lang w:val="en-US" w:eastAsia="zh-CN"/>
              </w:rPr>
            </w:pPr>
            <w:r>
              <w:rPr>
                <w:rFonts w:hint="eastAsia" w:ascii="黑体" w:hAnsi="黑体" w:eastAsia="黑体" w:cs="黑体"/>
                <w:b w:val="0"/>
                <w:bCs w:val="0"/>
                <w:sz w:val="24"/>
                <w:lang w:val="en-US" w:eastAsia="zh-CN"/>
              </w:rPr>
              <w:t>平方米</w:t>
            </w:r>
          </w:p>
        </w:tc>
        <w:tc>
          <w:tcPr>
            <w:tcW w:w="973" w:type="dxa"/>
            <w:tcBorders>
              <w:tl2br w:val="nil"/>
              <w:tr2bl w:val="nil"/>
            </w:tcBorders>
            <w:noWrap w:val="0"/>
            <w:vAlign w:val="center"/>
          </w:tcPr>
          <w:p w14:paraId="19829DE6">
            <w:pPr>
              <w:keepNext w:val="0"/>
              <w:keepLines w:val="0"/>
              <w:pageBreakBefore w:val="0"/>
              <w:widowControl w:val="0"/>
              <w:wordWrap/>
              <w:bidi w:val="0"/>
              <w:spacing w:line="560" w:lineRule="exact"/>
              <w:jc w:val="center"/>
              <w:rPr>
                <w:rFonts w:hint="default" w:ascii="黑体" w:hAnsi="黑体" w:eastAsia="黑体" w:cs="黑体"/>
                <w:b w:val="0"/>
                <w:bCs w:val="0"/>
                <w:sz w:val="24"/>
                <w:lang w:val="en-US" w:eastAsia="zh-CN"/>
              </w:rPr>
            </w:pPr>
            <w:r>
              <w:rPr>
                <w:rFonts w:hint="eastAsia" w:ascii="黑体" w:hAnsi="黑体" w:eastAsia="黑体" w:cs="黑体"/>
                <w:b w:val="0"/>
                <w:bCs w:val="0"/>
                <w:sz w:val="24"/>
                <w:lang w:val="en-US" w:eastAsia="zh-CN"/>
              </w:rPr>
              <w:t>130  平方米</w:t>
            </w:r>
          </w:p>
        </w:tc>
        <w:tc>
          <w:tcPr>
            <w:tcW w:w="973" w:type="dxa"/>
            <w:tcBorders>
              <w:tl2br w:val="nil"/>
              <w:tr2bl w:val="nil"/>
            </w:tcBorders>
            <w:noWrap w:val="0"/>
            <w:vAlign w:val="center"/>
          </w:tcPr>
          <w:p w14:paraId="3B2BD21F">
            <w:pPr>
              <w:keepNext w:val="0"/>
              <w:keepLines w:val="0"/>
              <w:pageBreakBefore w:val="0"/>
              <w:widowControl w:val="0"/>
              <w:wordWrap/>
              <w:bidi w:val="0"/>
              <w:spacing w:line="560" w:lineRule="exact"/>
              <w:jc w:val="center"/>
              <w:rPr>
                <w:rFonts w:hint="default" w:ascii="黑体" w:hAnsi="黑体" w:eastAsia="黑体" w:cs="黑体"/>
                <w:b w:val="0"/>
                <w:bCs w:val="0"/>
                <w:sz w:val="24"/>
                <w:lang w:val="en-US" w:eastAsia="zh-CN"/>
              </w:rPr>
            </w:pPr>
            <w:r>
              <w:rPr>
                <w:rFonts w:hint="eastAsia" w:ascii="黑体" w:hAnsi="黑体" w:eastAsia="黑体" w:cs="黑体"/>
                <w:b w:val="0"/>
                <w:bCs w:val="0"/>
                <w:sz w:val="24"/>
                <w:lang w:val="en-US" w:eastAsia="zh-CN"/>
              </w:rPr>
              <w:t>137  平方米</w:t>
            </w:r>
          </w:p>
        </w:tc>
        <w:tc>
          <w:tcPr>
            <w:tcW w:w="973" w:type="dxa"/>
            <w:tcBorders>
              <w:tl2br w:val="nil"/>
              <w:tr2bl w:val="nil"/>
            </w:tcBorders>
            <w:noWrap w:val="0"/>
            <w:vAlign w:val="center"/>
          </w:tcPr>
          <w:p w14:paraId="18C640C8">
            <w:pPr>
              <w:keepNext w:val="0"/>
              <w:keepLines w:val="0"/>
              <w:pageBreakBefore w:val="0"/>
              <w:widowControl w:val="0"/>
              <w:wordWrap/>
              <w:bidi w:val="0"/>
              <w:spacing w:line="560" w:lineRule="exact"/>
              <w:jc w:val="center"/>
              <w:rPr>
                <w:rFonts w:hint="default" w:ascii="黑体" w:hAnsi="黑体" w:eastAsia="黑体" w:cs="黑体"/>
                <w:b w:val="0"/>
                <w:bCs w:val="0"/>
                <w:sz w:val="24"/>
                <w:lang w:val="en-US" w:eastAsia="zh-CN"/>
              </w:rPr>
            </w:pPr>
            <w:r>
              <w:rPr>
                <w:rFonts w:hint="eastAsia" w:ascii="黑体" w:hAnsi="黑体" w:eastAsia="黑体" w:cs="黑体"/>
                <w:b w:val="0"/>
                <w:bCs w:val="0"/>
                <w:sz w:val="24"/>
                <w:lang w:val="en-US" w:eastAsia="zh-CN"/>
              </w:rPr>
              <w:t>140</w:t>
            </w:r>
          </w:p>
          <w:p w14:paraId="161CB2D8">
            <w:pPr>
              <w:keepNext w:val="0"/>
              <w:keepLines w:val="0"/>
              <w:pageBreakBefore w:val="0"/>
              <w:widowControl w:val="0"/>
              <w:wordWrap/>
              <w:bidi w:val="0"/>
              <w:spacing w:line="560" w:lineRule="exact"/>
              <w:jc w:val="center"/>
              <w:rPr>
                <w:rFonts w:hint="default" w:ascii="黑体" w:hAnsi="黑体" w:eastAsia="黑体" w:cs="黑体"/>
                <w:b w:val="0"/>
                <w:bCs w:val="0"/>
                <w:sz w:val="24"/>
                <w:lang w:val="en-US" w:eastAsia="zh-CN"/>
              </w:rPr>
            </w:pPr>
            <w:r>
              <w:rPr>
                <w:rFonts w:hint="eastAsia" w:ascii="黑体" w:hAnsi="黑体" w:eastAsia="黑体" w:cs="黑体"/>
                <w:b w:val="0"/>
                <w:bCs w:val="0"/>
                <w:sz w:val="24"/>
                <w:lang w:val="en-US" w:eastAsia="zh-CN"/>
              </w:rPr>
              <w:t>平方米</w:t>
            </w:r>
          </w:p>
        </w:tc>
        <w:tc>
          <w:tcPr>
            <w:tcW w:w="978" w:type="dxa"/>
            <w:tcBorders>
              <w:tl2br w:val="nil"/>
              <w:tr2bl w:val="nil"/>
            </w:tcBorders>
            <w:noWrap w:val="0"/>
            <w:vAlign w:val="center"/>
          </w:tcPr>
          <w:p w14:paraId="7DD78B6E">
            <w:pPr>
              <w:keepNext w:val="0"/>
              <w:keepLines w:val="0"/>
              <w:pageBreakBefore w:val="0"/>
              <w:widowControl w:val="0"/>
              <w:wordWrap/>
              <w:bidi w:val="0"/>
              <w:spacing w:line="560" w:lineRule="exact"/>
              <w:jc w:val="center"/>
              <w:rPr>
                <w:rFonts w:hint="eastAsia" w:ascii="黑体" w:hAnsi="黑体" w:eastAsia="黑体" w:cs="黑体"/>
                <w:b w:val="0"/>
                <w:bCs w:val="0"/>
                <w:sz w:val="24"/>
                <w:lang w:val="en-US" w:eastAsia="zh-CN"/>
              </w:rPr>
            </w:pPr>
            <w:r>
              <w:rPr>
                <w:rFonts w:hint="eastAsia" w:ascii="黑体" w:hAnsi="黑体" w:eastAsia="黑体" w:cs="黑体"/>
                <w:b w:val="0"/>
                <w:bCs w:val="0"/>
                <w:sz w:val="24"/>
                <w:lang w:val="en-US" w:eastAsia="zh-CN"/>
              </w:rPr>
              <w:t>149</w:t>
            </w:r>
          </w:p>
          <w:p w14:paraId="67506544">
            <w:pPr>
              <w:keepNext w:val="0"/>
              <w:keepLines w:val="0"/>
              <w:pageBreakBefore w:val="0"/>
              <w:widowControl w:val="0"/>
              <w:wordWrap/>
              <w:bidi w:val="0"/>
              <w:spacing w:line="560" w:lineRule="exact"/>
              <w:jc w:val="center"/>
              <w:rPr>
                <w:rFonts w:hint="default" w:ascii="黑体" w:hAnsi="黑体" w:eastAsia="黑体" w:cs="黑体"/>
                <w:b w:val="0"/>
                <w:bCs w:val="0"/>
                <w:sz w:val="24"/>
                <w:lang w:val="en-US" w:eastAsia="zh-CN"/>
              </w:rPr>
            </w:pPr>
            <w:r>
              <w:rPr>
                <w:rFonts w:hint="eastAsia" w:ascii="黑体" w:hAnsi="黑体" w:eastAsia="黑体" w:cs="黑体"/>
                <w:b w:val="0"/>
                <w:bCs w:val="0"/>
                <w:sz w:val="24"/>
                <w:lang w:val="en-US" w:eastAsia="zh-CN"/>
              </w:rPr>
              <w:t>平方米</w:t>
            </w:r>
          </w:p>
        </w:tc>
        <w:tc>
          <w:tcPr>
            <w:tcW w:w="783" w:type="dxa"/>
            <w:tcBorders>
              <w:tl2br w:val="nil"/>
              <w:tr2bl w:val="nil"/>
            </w:tcBorders>
            <w:noWrap w:val="0"/>
            <w:vAlign w:val="center"/>
          </w:tcPr>
          <w:p w14:paraId="368CAB63">
            <w:pPr>
              <w:keepNext w:val="0"/>
              <w:keepLines w:val="0"/>
              <w:pageBreakBefore w:val="0"/>
              <w:widowControl w:val="0"/>
              <w:wordWrap/>
              <w:bidi w:val="0"/>
              <w:spacing w:line="560" w:lineRule="exact"/>
              <w:jc w:val="center"/>
              <w:rPr>
                <w:rFonts w:hint="default" w:ascii="黑体" w:hAnsi="黑体" w:eastAsia="黑体" w:cs="黑体"/>
                <w:b w:val="0"/>
                <w:bCs w:val="0"/>
                <w:sz w:val="24"/>
                <w:lang w:val="en-US" w:eastAsia="zh-CN"/>
              </w:rPr>
            </w:pPr>
            <w:r>
              <w:rPr>
                <w:rFonts w:hint="eastAsia" w:ascii="黑体" w:hAnsi="黑体" w:eastAsia="黑体" w:cs="黑体"/>
                <w:b w:val="0"/>
                <w:bCs w:val="0"/>
                <w:sz w:val="24"/>
                <w:lang w:val="en-US" w:eastAsia="zh-CN"/>
              </w:rPr>
              <w:t>备注</w:t>
            </w:r>
          </w:p>
        </w:tc>
      </w:tr>
      <w:tr w14:paraId="441141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70" w:hRule="exact"/>
        </w:trPr>
        <w:tc>
          <w:tcPr>
            <w:tcW w:w="1400" w:type="dxa"/>
            <w:tcBorders>
              <w:tl2br w:val="nil"/>
              <w:tr2bl w:val="nil"/>
            </w:tcBorders>
            <w:noWrap w:val="0"/>
            <w:vAlign w:val="center"/>
          </w:tcPr>
          <w:p w14:paraId="013FCBB6">
            <w:pPr>
              <w:keepNext w:val="0"/>
              <w:keepLines w:val="0"/>
              <w:pageBreakBefore w:val="0"/>
              <w:widowControl w:val="0"/>
              <w:wordWrap/>
              <w:bidi w:val="0"/>
              <w:spacing w:line="5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太山庙</w:t>
            </w:r>
          </w:p>
          <w:p w14:paraId="3BBBF836">
            <w:pPr>
              <w:keepNext w:val="0"/>
              <w:keepLines w:val="0"/>
              <w:pageBreakBefore w:val="0"/>
              <w:widowControl w:val="0"/>
              <w:wordWrap/>
              <w:bidi w:val="0"/>
              <w:spacing w:line="56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二期</w:t>
            </w:r>
          </w:p>
        </w:tc>
        <w:tc>
          <w:tcPr>
            <w:tcW w:w="1000" w:type="dxa"/>
            <w:tcBorders>
              <w:tl2br w:val="nil"/>
              <w:tr2bl w:val="nil"/>
            </w:tcBorders>
            <w:noWrap w:val="0"/>
            <w:vAlign w:val="center"/>
          </w:tcPr>
          <w:p w14:paraId="668C48A4">
            <w:pPr>
              <w:keepNext w:val="0"/>
              <w:keepLines w:val="0"/>
              <w:pageBreakBefore w:val="0"/>
              <w:widowControl w:val="0"/>
              <w:wordWrap/>
              <w:bidi w:val="0"/>
              <w:spacing w:line="560" w:lineRule="exact"/>
              <w:jc w:val="center"/>
              <w:rPr>
                <w:rFonts w:hint="eastAsia" w:ascii="仿宋_GB2312" w:hAnsi="仿宋_GB2312" w:eastAsia="仿宋_GB2312" w:cs="仿宋_GB2312"/>
                <w:sz w:val="24"/>
                <w:lang w:val="en-US" w:eastAsia="zh-CN"/>
              </w:rPr>
            </w:pPr>
          </w:p>
        </w:tc>
        <w:tc>
          <w:tcPr>
            <w:tcW w:w="1047" w:type="dxa"/>
            <w:tcBorders>
              <w:tl2br w:val="nil"/>
              <w:tr2bl w:val="nil"/>
            </w:tcBorders>
            <w:noWrap w:val="0"/>
            <w:vAlign w:val="center"/>
          </w:tcPr>
          <w:p w14:paraId="3CEC1158">
            <w:pPr>
              <w:keepNext w:val="0"/>
              <w:keepLines w:val="0"/>
              <w:pageBreakBefore w:val="0"/>
              <w:widowControl w:val="0"/>
              <w:wordWrap/>
              <w:bidi w:val="0"/>
              <w:spacing w:line="56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w:t>
            </w:r>
          </w:p>
        </w:tc>
        <w:tc>
          <w:tcPr>
            <w:tcW w:w="973" w:type="dxa"/>
            <w:tcBorders>
              <w:tl2br w:val="nil"/>
              <w:tr2bl w:val="nil"/>
            </w:tcBorders>
            <w:noWrap w:val="0"/>
            <w:vAlign w:val="center"/>
          </w:tcPr>
          <w:p w14:paraId="5A6BE53D">
            <w:pPr>
              <w:keepNext w:val="0"/>
              <w:keepLines w:val="0"/>
              <w:pageBreakBefore w:val="0"/>
              <w:widowControl w:val="0"/>
              <w:wordWrap/>
              <w:bidi w:val="0"/>
              <w:spacing w:line="56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w:t>
            </w:r>
          </w:p>
        </w:tc>
        <w:tc>
          <w:tcPr>
            <w:tcW w:w="973" w:type="dxa"/>
            <w:tcBorders>
              <w:tl2br w:val="nil"/>
              <w:tr2bl w:val="nil"/>
            </w:tcBorders>
            <w:noWrap w:val="0"/>
            <w:vAlign w:val="center"/>
          </w:tcPr>
          <w:p w14:paraId="2D399DE6">
            <w:pPr>
              <w:keepNext w:val="0"/>
              <w:keepLines w:val="0"/>
              <w:pageBreakBefore w:val="0"/>
              <w:widowControl w:val="0"/>
              <w:wordWrap/>
              <w:bidi w:val="0"/>
              <w:spacing w:line="56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w:t>
            </w:r>
          </w:p>
        </w:tc>
        <w:tc>
          <w:tcPr>
            <w:tcW w:w="973" w:type="dxa"/>
            <w:tcBorders>
              <w:tl2br w:val="nil"/>
              <w:tr2bl w:val="nil"/>
            </w:tcBorders>
            <w:noWrap w:val="0"/>
            <w:vAlign w:val="center"/>
          </w:tcPr>
          <w:p w14:paraId="7F0389DE">
            <w:pPr>
              <w:keepNext w:val="0"/>
              <w:keepLines w:val="0"/>
              <w:pageBreakBefore w:val="0"/>
              <w:widowControl w:val="0"/>
              <w:wordWrap/>
              <w:bidi w:val="0"/>
              <w:spacing w:line="560" w:lineRule="exact"/>
              <w:jc w:val="center"/>
              <w:rPr>
                <w:rFonts w:hint="eastAsia" w:ascii="黑体" w:hAnsi="宋体" w:eastAsia="黑体" w:cs="Times New Roman"/>
                <w:b w:val="0"/>
                <w:bCs w:val="0"/>
                <w:sz w:val="24"/>
                <w:lang w:val="en-US" w:eastAsia="zh-CN"/>
              </w:rPr>
            </w:pPr>
          </w:p>
        </w:tc>
        <w:tc>
          <w:tcPr>
            <w:tcW w:w="973" w:type="dxa"/>
            <w:tcBorders>
              <w:tl2br w:val="nil"/>
              <w:tr2bl w:val="nil"/>
            </w:tcBorders>
            <w:noWrap w:val="0"/>
            <w:vAlign w:val="center"/>
          </w:tcPr>
          <w:p w14:paraId="13CFE694">
            <w:pPr>
              <w:keepNext w:val="0"/>
              <w:keepLines w:val="0"/>
              <w:pageBreakBefore w:val="0"/>
              <w:widowControl w:val="0"/>
              <w:wordWrap/>
              <w:bidi w:val="0"/>
              <w:spacing w:line="56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w:t>
            </w:r>
          </w:p>
        </w:tc>
        <w:tc>
          <w:tcPr>
            <w:tcW w:w="978" w:type="dxa"/>
            <w:tcBorders>
              <w:tl2br w:val="nil"/>
              <w:tr2bl w:val="nil"/>
            </w:tcBorders>
            <w:noWrap w:val="0"/>
            <w:vAlign w:val="center"/>
          </w:tcPr>
          <w:p w14:paraId="30C86F8C">
            <w:pPr>
              <w:keepNext w:val="0"/>
              <w:keepLines w:val="0"/>
              <w:pageBreakBefore w:val="0"/>
              <w:widowControl w:val="0"/>
              <w:wordWrap/>
              <w:bidi w:val="0"/>
              <w:spacing w:line="560" w:lineRule="exact"/>
              <w:jc w:val="center"/>
              <w:rPr>
                <w:rFonts w:hint="eastAsia" w:ascii="仿宋_GB2312" w:hAnsi="仿宋_GB2312" w:eastAsia="仿宋_GB2312" w:cs="仿宋_GB2312"/>
                <w:sz w:val="24"/>
                <w:lang w:val="en-US" w:eastAsia="zh-CN"/>
              </w:rPr>
            </w:pPr>
          </w:p>
        </w:tc>
        <w:tc>
          <w:tcPr>
            <w:tcW w:w="783" w:type="dxa"/>
            <w:tcBorders>
              <w:tl2br w:val="nil"/>
              <w:tr2bl w:val="nil"/>
            </w:tcBorders>
            <w:noWrap w:val="0"/>
            <w:vAlign w:val="center"/>
          </w:tcPr>
          <w:p w14:paraId="273D32AA">
            <w:pPr>
              <w:keepNext w:val="0"/>
              <w:keepLines w:val="0"/>
              <w:pageBreakBefore w:val="0"/>
              <w:widowControl w:val="0"/>
              <w:wordWrap/>
              <w:bidi w:val="0"/>
              <w:spacing w:line="56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现房</w:t>
            </w:r>
          </w:p>
        </w:tc>
      </w:tr>
      <w:tr w14:paraId="0F6CF6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06" w:hRule="exact"/>
        </w:trPr>
        <w:tc>
          <w:tcPr>
            <w:tcW w:w="1400" w:type="dxa"/>
            <w:tcBorders>
              <w:tl2br w:val="nil"/>
              <w:tr2bl w:val="nil"/>
            </w:tcBorders>
            <w:noWrap w:val="0"/>
            <w:vAlign w:val="center"/>
          </w:tcPr>
          <w:p w14:paraId="5A8150FB">
            <w:pPr>
              <w:keepNext w:val="0"/>
              <w:keepLines w:val="0"/>
              <w:pageBreakBefore w:val="0"/>
              <w:widowControl w:val="0"/>
              <w:wordWrap/>
              <w:bidi w:val="0"/>
              <w:spacing w:line="560" w:lineRule="exact"/>
              <w:jc w:val="center"/>
              <w:rPr>
                <w:rFonts w:hint="eastAsia" w:ascii="仿宋_GB2312" w:hAnsi="仿宋_GB2312" w:eastAsia="仿宋_GB2312" w:cs="仿宋_GB2312"/>
                <w:color w:val="0070C0"/>
                <w:sz w:val="24"/>
                <w:lang w:val="en-US" w:eastAsia="zh-CN"/>
              </w:rPr>
            </w:pPr>
            <w:r>
              <w:rPr>
                <w:rFonts w:hint="eastAsia" w:ascii="仿宋_GB2312" w:hAnsi="仿宋_GB2312" w:eastAsia="仿宋_GB2312" w:cs="仿宋_GB2312"/>
                <w:sz w:val="24"/>
                <w:lang w:val="en-US" w:eastAsia="zh-CN"/>
              </w:rPr>
              <w:t>曾投璟园</w:t>
            </w:r>
          </w:p>
        </w:tc>
        <w:tc>
          <w:tcPr>
            <w:tcW w:w="1000" w:type="dxa"/>
            <w:tcBorders>
              <w:tl2br w:val="nil"/>
              <w:tr2bl w:val="nil"/>
            </w:tcBorders>
            <w:noWrap w:val="0"/>
            <w:vAlign w:val="center"/>
          </w:tcPr>
          <w:p w14:paraId="3FB81425">
            <w:pPr>
              <w:keepNext w:val="0"/>
              <w:keepLines w:val="0"/>
              <w:pageBreakBefore w:val="0"/>
              <w:widowControl w:val="0"/>
              <w:wordWrap/>
              <w:bidi w:val="0"/>
              <w:spacing w:line="560" w:lineRule="exact"/>
              <w:jc w:val="center"/>
              <w:rPr>
                <w:rFonts w:hint="eastAsia" w:ascii="仿宋_GB2312" w:hAnsi="仿宋_GB2312" w:eastAsia="仿宋_GB2312" w:cs="仿宋_GB2312"/>
                <w:color w:val="0070C0"/>
                <w:sz w:val="24"/>
                <w:lang w:val="en-US" w:eastAsia="zh-CN"/>
              </w:rPr>
            </w:pPr>
            <w:r>
              <w:rPr>
                <w:rFonts w:hint="eastAsia" w:ascii="仿宋_GB2312" w:hAnsi="仿宋_GB2312" w:eastAsia="仿宋_GB2312" w:cs="仿宋_GB2312"/>
                <w:sz w:val="24"/>
                <w:lang w:val="en-US" w:eastAsia="zh-CN"/>
              </w:rPr>
              <w:t>√</w:t>
            </w:r>
          </w:p>
        </w:tc>
        <w:tc>
          <w:tcPr>
            <w:tcW w:w="1047" w:type="dxa"/>
            <w:tcBorders>
              <w:tl2br w:val="nil"/>
              <w:tr2bl w:val="nil"/>
            </w:tcBorders>
            <w:noWrap w:val="0"/>
            <w:vAlign w:val="center"/>
          </w:tcPr>
          <w:p w14:paraId="5598DAE3">
            <w:pPr>
              <w:keepNext w:val="0"/>
              <w:keepLines w:val="0"/>
              <w:pageBreakBefore w:val="0"/>
              <w:widowControl w:val="0"/>
              <w:wordWrap/>
              <w:bidi w:val="0"/>
              <w:spacing w:line="560" w:lineRule="exact"/>
              <w:jc w:val="center"/>
              <w:rPr>
                <w:rFonts w:hint="eastAsia" w:ascii="仿宋_GB2312" w:hAnsi="仿宋_GB2312" w:eastAsia="仿宋_GB2312" w:cs="仿宋_GB2312"/>
                <w:color w:val="0070C0"/>
                <w:sz w:val="24"/>
                <w:lang w:val="en-US" w:eastAsia="zh-CN"/>
              </w:rPr>
            </w:pPr>
          </w:p>
        </w:tc>
        <w:tc>
          <w:tcPr>
            <w:tcW w:w="973" w:type="dxa"/>
            <w:tcBorders>
              <w:tl2br w:val="nil"/>
              <w:tr2bl w:val="nil"/>
            </w:tcBorders>
            <w:noWrap w:val="0"/>
            <w:vAlign w:val="center"/>
          </w:tcPr>
          <w:p w14:paraId="7DA470C5">
            <w:pPr>
              <w:keepNext w:val="0"/>
              <w:keepLines w:val="0"/>
              <w:pageBreakBefore w:val="0"/>
              <w:widowControl w:val="0"/>
              <w:wordWrap/>
              <w:bidi w:val="0"/>
              <w:spacing w:line="560" w:lineRule="exact"/>
              <w:jc w:val="center"/>
              <w:rPr>
                <w:rFonts w:hint="eastAsia" w:ascii="仿宋_GB2312" w:hAnsi="仿宋_GB2312" w:eastAsia="仿宋_GB2312" w:cs="仿宋_GB2312"/>
                <w:color w:val="0070C0"/>
                <w:sz w:val="24"/>
                <w:lang w:val="en-US" w:eastAsia="zh-CN"/>
              </w:rPr>
            </w:pPr>
          </w:p>
        </w:tc>
        <w:tc>
          <w:tcPr>
            <w:tcW w:w="973" w:type="dxa"/>
            <w:tcBorders>
              <w:tl2br w:val="nil"/>
              <w:tr2bl w:val="nil"/>
            </w:tcBorders>
            <w:noWrap w:val="0"/>
            <w:vAlign w:val="center"/>
          </w:tcPr>
          <w:p w14:paraId="6A8F69FB">
            <w:pPr>
              <w:keepNext w:val="0"/>
              <w:keepLines w:val="0"/>
              <w:pageBreakBefore w:val="0"/>
              <w:widowControl w:val="0"/>
              <w:wordWrap/>
              <w:bidi w:val="0"/>
              <w:spacing w:line="560" w:lineRule="exact"/>
              <w:jc w:val="center"/>
              <w:rPr>
                <w:rFonts w:hint="eastAsia" w:ascii="仿宋_GB2312" w:hAnsi="仿宋_GB2312" w:eastAsia="仿宋_GB2312" w:cs="仿宋_GB2312"/>
                <w:color w:val="0070C0"/>
                <w:sz w:val="24"/>
                <w:lang w:val="en-US" w:eastAsia="zh-CN"/>
              </w:rPr>
            </w:pPr>
          </w:p>
        </w:tc>
        <w:tc>
          <w:tcPr>
            <w:tcW w:w="973" w:type="dxa"/>
            <w:tcBorders>
              <w:tl2br w:val="nil"/>
              <w:tr2bl w:val="nil"/>
            </w:tcBorders>
            <w:noWrap w:val="0"/>
            <w:vAlign w:val="center"/>
          </w:tcPr>
          <w:p w14:paraId="0F67347C">
            <w:pPr>
              <w:keepNext w:val="0"/>
              <w:keepLines w:val="0"/>
              <w:pageBreakBefore w:val="0"/>
              <w:widowControl w:val="0"/>
              <w:wordWrap/>
              <w:bidi w:val="0"/>
              <w:spacing w:line="560" w:lineRule="exact"/>
              <w:jc w:val="center"/>
              <w:rPr>
                <w:rFonts w:hint="eastAsia" w:ascii="黑体" w:hAnsi="宋体" w:eastAsia="黑体" w:cs="Times New Roman"/>
                <w:b w:val="0"/>
                <w:bCs w:val="0"/>
                <w:color w:val="0070C0"/>
                <w:sz w:val="24"/>
                <w:lang w:val="en-US" w:eastAsia="zh-CN"/>
              </w:rPr>
            </w:pPr>
            <w:r>
              <w:rPr>
                <w:rFonts w:hint="eastAsia" w:ascii="仿宋_GB2312" w:hAnsi="仿宋_GB2312" w:eastAsia="仿宋_GB2312" w:cs="仿宋_GB2312"/>
                <w:sz w:val="24"/>
                <w:lang w:val="en-US" w:eastAsia="zh-CN"/>
              </w:rPr>
              <w:t>√</w:t>
            </w:r>
          </w:p>
        </w:tc>
        <w:tc>
          <w:tcPr>
            <w:tcW w:w="973" w:type="dxa"/>
            <w:tcBorders>
              <w:tl2br w:val="nil"/>
              <w:tr2bl w:val="nil"/>
            </w:tcBorders>
            <w:noWrap w:val="0"/>
            <w:vAlign w:val="center"/>
          </w:tcPr>
          <w:p w14:paraId="5AFDA549">
            <w:pPr>
              <w:keepNext w:val="0"/>
              <w:keepLines w:val="0"/>
              <w:pageBreakBefore w:val="0"/>
              <w:widowControl w:val="0"/>
              <w:wordWrap/>
              <w:bidi w:val="0"/>
              <w:spacing w:line="560" w:lineRule="exact"/>
              <w:jc w:val="center"/>
              <w:rPr>
                <w:rFonts w:hint="eastAsia" w:ascii="黑体" w:hAnsi="宋体" w:eastAsia="黑体" w:cs="Times New Roman"/>
                <w:b/>
                <w:bCs/>
                <w:color w:val="0070C0"/>
                <w:sz w:val="24"/>
                <w:lang w:val="en-US" w:eastAsia="zh-CN"/>
              </w:rPr>
            </w:pPr>
            <w:r>
              <w:rPr>
                <w:rFonts w:hint="eastAsia" w:ascii="仿宋_GB2312" w:hAnsi="仿宋_GB2312" w:eastAsia="仿宋_GB2312" w:cs="仿宋_GB2312"/>
                <w:sz w:val="24"/>
                <w:lang w:val="en-US" w:eastAsia="zh-CN"/>
              </w:rPr>
              <w:t>√</w:t>
            </w:r>
          </w:p>
        </w:tc>
        <w:tc>
          <w:tcPr>
            <w:tcW w:w="978" w:type="dxa"/>
            <w:tcBorders>
              <w:tl2br w:val="nil"/>
              <w:tr2bl w:val="nil"/>
            </w:tcBorders>
            <w:noWrap w:val="0"/>
            <w:vAlign w:val="center"/>
          </w:tcPr>
          <w:p w14:paraId="7D786750">
            <w:pPr>
              <w:keepNext w:val="0"/>
              <w:keepLines w:val="0"/>
              <w:pageBreakBefore w:val="0"/>
              <w:widowControl w:val="0"/>
              <w:wordWrap/>
              <w:bidi w:val="0"/>
              <w:spacing w:line="560" w:lineRule="exact"/>
              <w:jc w:val="center"/>
              <w:rPr>
                <w:rFonts w:hint="eastAsia" w:ascii="黑体" w:hAnsi="宋体" w:eastAsia="黑体" w:cs="Times New Roman"/>
                <w:b w:val="0"/>
                <w:bCs w:val="0"/>
                <w:color w:val="0070C0"/>
                <w:sz w:val="24"/>
                <w:lang w:val="en-US" w:eastAsia="zh-CN"/>
              </w:rPr>
            </w:pPr>
            <w:r>
              <w:rPr>
                <w:rFonts w:hint="eastAsia" w:ascii="仿宋_GB2312" w:hAnsi="仿宋_GB2312" w:eastAsia="仿宋_GB2312" w:cs="仿宋_GB2312"/>
                <w:sz w:val="24"/>
                <w:lang w:val="en-US" w:eastAsia="zh-CN"/>
              </w:rPr>
              <w:t>√</w:t>
            </w:r>
          </w:p>
        </w:tc>
        <w:tc>
          <w:tcPr>
            <w:tcW w:w="783" w:type="dxa"/>
            <w:tcBorders>
              <w:tl2br w:val="nil"/>
              <w:tr2bl w:val="nil"/>
            </w:tcBorders>
            <w:noWrap w:val="0"/>
            <w:vAlign w:val="center"/>
          </w:tcPr>
          <w:p w14:paraId="51A696F5">
            <w:pPr>
              <w:keepNext w:val="0"/>
              <w:keepLines w:val="0"/>
              <w:pageBreakBefore w:val="0"/>
              <w:widowControl w:val="0"/>
              <w:wordWrap/>
              <w:bidi w:val="0"/>
              <w:spacing w:line="56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现房</w:t>
            </w:r>
          </w:p>
        </w:tc>
      </w:tr>
    </w:tbl>
    <w:p w14:paraId="56D238F4">
      <w:pPr>
        <w:keepNext w:val="0"/>
        <w:keepLines w:val="0"/>
        <w:pageBreakBefore w:val="0"/>
        <w:widowControl w:val="0"/>
        <w:wordWrap/>
        <w:bidi w:val="0"/>
        <w:spacing w:line="560" w:lineRule="exact"/>
        <w:jc w:val="both"/>
        <w:rPr>
          <w:rFonts w:ascii="Times New Roman" w:hAnsi="Times New Roman" w:eastAsia="黑体"/>
          <w:color w:val="0000FF"/>
          <w:sz w:val="32"/>
          <w:szCs w:val="32"/>
        </w:rPr>
      </w:pPr>
    </w:p>
    <w:p w14:paraId="2051DD63">
      <w:pPr>
        <w:keepNext w:val="0"/>
        <w:keepLines w:val="0"/>
        <w:pageBreakBefore w:val="0"/>
        <w:widowControl w:val="0"/>
        <w:wordWrap/>
        <w:bidi w:val="0"/>
        <w:spacing w:line="560" w:lineRule="exact"/>
        <w:jc w:val="both"/>
        <w:rPr>
          <w:rFonts w:ascii="Times New Roman" w:hAnsi="Times New Roman" w:eastAsia="黑体"/>
          <w:color w:val="0000FF"/>
          <w:sz w:val="32"/>
          <w:szCs w:val="32"/>
        </w:rPr>
      </w:pPr>
      <w:r>
        <w:rPr>
          <w:sz w:val="24"/>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41910</wp:posOffset>
                </wp:positionV>
                <wp:extent cx="888365" cy="762000"/>
                <wp:effectExtent l="3175" t="3810" r="3810" b="15240"/>
                <wp:wrapNone/>
                <wp:docPr id="3" name="直接连接符 3"/>
                <wp:cNvGraphicFramePr/>
                <a:graphic xmlns:a="http://schemas.openxmlformats.org/drawingml/2006/main">
                  <a:graphicData uri="http://schemas.microsoft.com/office/word/2010/wordprocessingShape">
                    <wps:wsp>
                      <wps:cNvSpPr/>
                      <wps:spPr>
                        <a:xfrm>
                          <a:off x="0" y="0"/>
                          <a:ext cx="888365" cy="7620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1pt;margin-top:3.3pt;height:60pt;width:69.95pt;z-index:251659264;mso-width-relative:page;mso-height-relative:page;" filled="f" stroked="t" coordsize="21600,21600" o:gfxdata="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54SqG9cAAAAJAQAADwAAAAAAAAABACAAAAAiAAAAZHJzL2Rvd25yZXYueG1s&#10;UEsBAhQAFAAAAAgAh07iQF1K40n5AQAA6AMAAA4AAAAAAAAAAQAgAAAAJgEAAGRycy9lMm9Eb2Mu&#10;eG1sUEsFBgAAAAAGAAYAWQEAAJEFAAAAAA==&#10;">
                <v:path arrowok="t"/>
                <v:fill on="f" focussize="0,0"/>
                <v:stroke/>
                <v:imagedata o:title=""/>
                <o:lock v:ext="edit" aspectratio="f"/>
              </v:line>
            </w:pict>
          </mc:Fallback>
        </mc:AlternateContent>
      </w:r>
    </w:p>
    <w:p w14:paraId="0E367E8F">
      <w:pPr>
        <w:keepNext w:val="0"/>
        <w:keepLines w:val="0"/>
        <w:pageBreakBefore w:val="0"/>
        <w:widowControl w:val="0"/>
        <w:wordWrap/>
        <w:bidi w:val="0"/>
        <w:spacing w:line="560" w:lineRule="exact"/>
        <w:jc w:val="both"/>
        <w:rPr>
          <w:rFonts w:ascii="Times New Roman" w:hAnsi="Times New Roman" w:eastAsia="黑体"/>
          <w:color w:val="0000FF"/>
          <w:sz w:val="32"/>
          <w:szCs w:val="32"/>
        </w:rPr>
      </w:pPr>
    </w:p>
    <w:p w14:paraId="25075352">
      <w:pPr>
        <w:keepNext w:val="0"/>
        <w:keepLines w:val="0"/>
        <w:pageBreakBefore w:val="0"/>
        <w:widowControl w:val="0"/>
        <w:wordWrap/>
        <w:bidi w:val="0"/>
        <w:spacing w:line="560" w:lineRule="exact"/>
        <w:jc w:val="both"/>
        <w:rPr>
          <w:rFonts w:ascii="Times New Roman" w:hAnsi="Times New Roman" w:eastAsia="黑体"/>
          <w:color w:val="0000FF"/>
          <w:sz w:val="32"/>
          <w:szCs w:val="32"/>
        </w:rPr>
      </w:pPr>
    </w:p>
    <w:p w14:paraId="752CE871">
      <w:pPr>
        <w:keepNext w:val="0"/>
        <w:keepLines w:val="0"/>
        <w:pageBreakBefore w:val="0"/>
        <w:widowControl w:val="0"/>
        <w:wordWrap/>
        <w:bidi w:val="0"/>
        <w:spacing w:line="560" w:lineRule="exact"/>
        <w:jc w:val="both"/>
        <w:rPr>
          <w:rFonts w:ascii="Times New Roman" w:hAnsi="Times New Roman" w:eastAsia="黑体"/>
          <w:color w:val="0000FF"/>
          <w:sz w:val="32"/>
          <w:szCs w:val="32"/>
        </w:rPr>
      </w:pPr>
    </w:p>
    <w:p w14:paraId="7BDF0D67">
      <w:pPr>
        <w:keepNext w:val="0"/>
        <w:keepLines w:val="0"/>
        <w:pageBreakBefore w:val="0"/>
        <w:widowControl w:val="0"/>
        <w:wordWrap/>
        <w:bidi w:val="0"/>
        <w:spacing w:line="560" w:lineRule="exact"/>
        <w:jc w:val="both"/>
        <w:rPr>
          <w:rFonts w:ascii="Times New Roman" w:hAnsi="Times New Roman" w:eastAsia="黑体"/>
          <w:color w:val="0000FF"/>
          <w:sz w:val="32"/>
          <w:szCs w:val="32"/>
        </w:rPr>
      </w:pPr>
    </w:p>
    <w:p w14:paraId="4F68E81D">
      <w:pPr>
        <w:keepNext w:val="0"/>
        <w:keepLines w:val="0"/>
        <w:pageBreakBefore w:val="0"/>
        <w:widowControl w:val="0"/>
        <w:wordWrap/>
        <w:bidi w:val="0"/>
        <w:spacing w:line="560" w:lineRule="exact"/>
        <w:jc w:val="both"/>
        <w:rPr>
          <w:rFonts w:ascii="Times New Roman" w:hAnsi="Times New Roman" w:eastAsia="黑体"/>
          <w:color w:val="0000FF"/>
          <w:sz w:val="32"/>
          <w:szCs w:val="32"/>
        </w:rPr>
      </w:pPr>
    </w:p>
    <w:p w14:paraId="75910CDB">
      <w:pPr>
        <w:keepNext w:val="0"/>
        <w:keepLines w:val="0"/>
        <w:pageBreakBefore w:val="0"/>
        <w:widowControl w:val="0"/>
        <w:wordWrap/>
        <w:bidi w:val="0"/>
        <w:spacing w:line="560" w:lineRule="exact"/>
        <w:jc w:val="both"/>
        <w:rPr>
          <w:rFonts w:ascii="Times New Roman" w:hAnsi="Times New Roman" w:eastAsia="黑体"/>
          <w:color w:val="0000FF"/>
          <w:sz w:val="32"/>
          <w:szCs w:val="32"/>
        </w:rPr>
      </w:pPr>
    </w:p>
    <w:p w14:paraId="020693B3">
      <w:pPr>
        <w:keepNext w:val="0"/>
        <w:keepLines w:val="0"/>
        <w:pageBreakBefore w:val="0"/>
        <w:widowControl w:val="0"/>
        <w:wordWrap/>
        <w:bidi w:val="0"/>
        <w:spacing w:line="560" w:lineRule="exact"/>
        <w:jc w:val="both"/>
        <w:rPr>
          <w:rFonts w:ascii="Times New Roman" w:hAnsi="Times New Roman" w:eastAsia="黑体"/>
          <w:color w:val="0000FF"/>
          <w:sz w:val="32"/>
          <w:szCs w:val="32"/>
        </w:rPr>
      </w:pPr>
    </w:p>
    <w:p w14:paraId="58D28AD2">
      <w:pPr>
        <w:keepNext w:val="0"/>
        <w:keepLines w:val="0"/>
        <w:pageBreakBefore w:val="0"/>
        <w:widowControl w:val="0"/>
        <w:wordWrap/>
        <w:bidi w:val="0"/>
        <w:spacing w:line="560" w:lineRule="exact"/>
        <w:jc w:val="both"/>
        <w:rPr>
          <w:rFonts w:ascii="Times New Roman" w:hAnsi="Times New Roman" w:eastAsia="黑体"/>
          <w:color w:val="0000FF"/>
          <w:sz w:val="32"/>
          <w:szCs w:val="32"/>
        </w:rPr>
      </w:pPr>
    </w:p>
    <w:p w14:paraId="3C1CEFD7">
      <w:pPr>
        <w:keepNext w:val="0"/>
        <w:keepLines w:val="0"/>
        <w:pageBreakBefore w:val="0"/>
        <w:widowControl w:val="0"/>
        <w:wordWrap/>
        <w:bidi w:val="0"/>
        <w:spacing w:line="560" w:lineRule="exact"/>
        <w:jc w:val="both"/>
        <w:rPr>
          <w:rFonts w:ascii="Times New Roman" w:hAnsi="Times New Roman" w:eastAsia="黑体"/>
          <w:color w:val="0000FF"/>
          <w:sz w:val="32"/>
          <w:szCs w:val="32"/>
        </w:rPr>
      </w:pPr>
    </w:p>
    <w:p w14:paraId="4C78DF67">
      <w:pPr>
        <w:keepNext w:val="0"/>
        <w:keepLines w:val="0"/>
        <w:pageBreakBefore w:val="0"/>
        <w:widowControl w:val="0"/>
        <w:wordWrap/>
        <w:bidi w:val="0"/>
        <w:spacing w:line="560" w:lineRule="exact"/>
        <w:jc w:val="both"/>
        <w:rPr>
          <w:rFonts w:ascii="Times New Roman" w:hAnsi="Times New Roman" w:eastAsia="黑体"/>
          <w:color w:val="0000FF"/>
          <w:sz w:val="32"/>
          <w:szCs w:val="32"/>
        </w:rPr>
      </w:pPr>
    </w:p>
    <w:p w14:paraId="2621C629">
      <w:pPr>
        <w:keepNext w:val="0"/>
        <w:keepLines w:val="0"/>
        <w:pageBreakBefore w:val="0"/>
        <w:widowControl w:val="0"/>
        <w:wordWrap/>
        <w:bidi w:val="0"/>
        <w:spacing w:line="560" w:lineRule="exact"/>
        <w:jc w:val="both"/>
        <w:rPr>
          <w:rFonts w:hint="eastAsia" w:ascii="Times New Roman" w:hAnsi="Times New Roman" w:eastAsia="黑体"/>
          <w:color w:val="auto"/>
          <w:sz w:val="32"/>
          <w:szCs w:val="32"/>
          <w:lang w:val="en-US" w:eastAsia="zh-CN"/>
        </w:rPr>
      </w:pPr>
      <w:r>
        <w:rPr>
          <w:rFonts w:ascii="Times New Roman" w:hAnsi="Times New Roman" w:eastAsia="黑体"/>
          <w:color w:val="auto"/>
          <w:sz w:val="32"/>
          <w:szCs w:val="32"/>
        </w:rPr>
        <w:t>附</w:t>
      </w:r>
      <w:r>
        <w:rPr>
          <w:rFonts w:hint="eastAsia" w:ascii="Times New Roman" w:hAnsi="Times New Roman" w:eastAsia="黑体"/>
          <w:color w:val="auto"/>
          <w:sz w:val="32"/>
          <w:szCs w:val="32"/>
          <w:lang w:val="en-US" w:eastAsia="zh-CN"/>
        </w:rPr>
        <w:t>表2：</w:t>
      </w:r>
    </w:p>
    <w:p w14:paraId="38593B9B">
      <w:pPr>
        <w:keepNext w:val="0"/>
        <w:keepLines w:val="0"/>
        <w:pageBreakBefore w:val="0"/>
        <w:widowControl w:val="0"/>
        <w:wordWrap/>
        <w:bidi w:val="0"/>
        <w:spacing w:line="560" w:lineRule="exact"/>
        <w:ind w:firstLine="428" w:firstLineChars="100"/>
        <w:jc w:val="both"/>
        <w:rPr>
          <w:rFonts w:hint="default" w:ascii="方正小标宋简体" w:hAnsi="Times New Roman" w:eastAsia="方正小标宋简体"/>
          <w:color w:val="auto"/>
          <w:spacing w:val="-6"/>
          <w:sz w:val="44"/>
          <w:szCs w:val="44"/>
          <w:lang w:val="en-US" w:eastAsia="zh-CN"/>
        </w:rPr>
      </w:pPr>
      <w:r>
        <w:rPr>
          <w:rFonts w:hint="eastAsia" w:ascii="方正小标宋简体" w:hAnsi="Times New Roman" w:eastAsia="方正小标宋简体"/>
          <w:color w:val="auto"/>
          <w:spacing w:val="-6"/>
          <w:sz w:val="44"/>
          <w:szCs w:val="44"/>
          <w:lang w:val="en-US" w:eastAsia="zh-CN"/>
        </w:rPr>
        <w:t xml:space="preserve">                                                                                                                                                                              </w:t>
      </w:r>
    </w:p>
    <w:p w14:paraId="430B487C">
      <w:pPr>
        <w:keepNext w:val="0"/>
        <w:keepLines w:val="0"/>
        <w:pageBreakBefore w:val="0"/>
        <w:widowControl w:val="0"/>
        <w:wordWrap/>
        <w:bidi w:val="0"/>
        <w:spacing w:line="560" w:lineRule="exact"/>
        <w:jc w:val="center"/>
        <w:rPr>
          <w:rFonts w:ascii="方正小标宋简体" w:hAnsi="Times New Roman" w:eastAsia="方正小标宋简体"/>
          <w:color w:val="auto"/>
          <w:spacing w:val="-6"/>
          <w:sz w:val="44"/>
          <w:szCs w:val="44"/>
        </w:rPr>
      </w:pPr>
      <w:r>
        <w:rPr>
          <w:rFonts w:hint="eastAsia" w:ascii="方正小标宋简体" w:hAnsi="Times New Roman" w:eastAsia="方正小标宋简体"/>
          <w:color w:val="auto"/>
          <w:spacing w:val="-6"/>
          <w:sz w:val="44"/>
          <w:szCs w:val="44"/>
          <w:lang w:val="en-US" w:eastAsia="zh-CN"/>
        </w:rPr>
        <w:t>城北片区优惠房源</w:t>
      </w:r>
      <w:r>
        <w:rPr>
          <w:rFonts w:ascii="方正小标宋简体" w:hAnsi="Times New Roman" w:eastAsia="方正小标宋简体"/>
          <w:color w:val="auto"/>
          <w:spacing w:val="-6"/>
          <w:sz w:val="44"/>
          <w:szCs w:val="44"/>
        </w:rPr>
        <w:t>一览表</w:t>
      </w:r>
    </w:p>
    <w:p w14:paraId="18D29C62">
      <w:pPr>
        <w:keepNext w:val="0"/>
        <w:keepLines w:val="0"/>
        <w:pageBreakBefore w:val="0"/>
        <w:widowControl w:val="0"/>
        <w:wordWrap/>
        <w:bidi w:val="0"/>
        <w:spacing w:line="560" w:lineRule="exact"/>
        <w:jc w:val="center"/>
        <w:rPr>
          <w:rFonts w:ascii="方正小标宋简体" w:hAnsi="Times New Roman" w:eastAsia="方正小标宋简体"/>
          <w:color w:val="auto"/>
          <w:spacing w:val="-6"/>
          <w:sz w:val="44"/>
          <w:szCs w:val="44"/>
        </w:rPr>
      </w:pPr>
    </w:p>
    <w:tbl>
      <w:tblPr>
        <w:tblStyle w:val="7"/>
        <w:tblW w:w="865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78"/>
        <w:gridCol w:w="1609"/>
        <w:gridCol w:w="1262"/>
        <w:gridCol w:w="1107"/>
        <w:gridCol w:w="1665"/>
        <w:gridCol w:w="1435"/>
      </w:tblGrid>
      <w:tr w14:paraId="329862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16" w:hRule="atLeast"/>
          <w:jc w:val="center"/>
        </w:trPr>
        <w:tc>
          <w:tcPr>
            <w:tcW w:w="1578" w:type="dxa"/>
            <w:tcBorders>
              <w:tl2br w:val="nil"/>
              <w:tr2bl w:val="nil"/>
            </w:tcBorders>
            <w:noWrap w:val="0"/>
            <w:vAlign w:val="center"/>
          </w:tcPr>
          <w:p w14:paraId="7A26E416">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黑体" w:hAnsi="黑体" w:eastAsia="黑体" w:cs="黑体"/>
                <w:b w:val="0"/>
                <w:bCs w:val="0"/>
                <w:color w:val="auto"/>
                <w:sz w:val="24"/>
                <w:lang w:val="en-US" w:eastAsia="zh-CN"/>
              </w:rPr>
            </w:pPr>
            <w:r>
              <w:rPr>
                <w:rFonts w:hint="eastAsia" w:ascii="黑体" w:hAnsi="黑体" w:eastAsia="黑体" w:cs="黑体"/>
                <w:b w:val="0"/>
                <w:bCs w:val="0"/>
                <w:color w:val="auto"/>
                <w:sz w:val="24"/>
                <w:lang w:val="en-US" w:eastAsia="zh-CN"/>
              </w:rPr>
              <w:t>安置点</w:t>
            </w:r>
          </w:p>
        </w:tc>
        <w:tc>
          <w:tcPr>
            <w:tcW w:w="1609" w:type="dxa"/>
            <w:tcBorders>
              <w:tl2br w:val="nil"/>
              <w:tr2bl w:val="nil"/>
            </w:tcBorders>
            <w:noWrap w:val="0"/>
            <w:vAlign w:val="center"/>
          </w:tcPr>
          <w:p w14:paraId="7D89E291">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黑体" w:hAnsi="黑体" w:eastAsia="黑体" w:cs="黑体"/>
                <w:b w:val="0"/>
                <w:bCs w:val="0"/>
                <w:color w:val="auto"/>
                <w:sz w:val="24"/>
                <w:lang w:val="en-US" w:eastAsia="zh-CN"/>
              </w:rPr>
            </w:pPr>
            <w:r>
              <w:rPr>
                <w:rFonts w:hint="eastAsia" w:ascii="黑体" w:hAnsi="黑体" w:eastAsia="黑体" w:cs="黑体"/>
                <w:b w:val="0"/>
                <w:bCs w:val="0"/>
                <w:color w:val="auto"/>
                <w:sz w:val="24"/>
                <w:lang w:val="en-US" w:eastAsia="zh-CN"/>
              </w:rPr>
              <w:t>建设(回购)成本价（元/平方米）</w:t>
            </w:r>
          </w:p>
        </w:tc>
        <w:tc>
          <w:tcPr>
            <w:tcW w:w="1262" w:type="dxa"/>
            <w:tcBorders>
              <w:tl2br w:val="nil"/>
              <w:tr2bl w:val="nil"/>
            </w:tcBorders>
            <w:noWrap w:val="0"/>
            <w:vAlign w:val="center"/>
          </w:tcPr>
          <w:p w14:paraId="2B64F1BA">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黑体" w:hAnsi="黑体" w:eastAsia="黑体" w:cs="黑体"/>
                <w:b w:val="0"/>
                <w:bCs w:val="0"/>
                <w:color w:val="auto"/>
                <w:sz w:val="24"/>
                <w:lang w:val="en-US" w:eastAsia="zh-CN"/>
              </w:rPr>
            </w:pPr>
            <w:r>
              <w:rPr>
                <w:rFonts w:hint="eastAsia" w:ascii="黑体" w:hAnsi="黑体" w:eastAsia="黑体" w:cs="黑体"/>
                <w:b w:val="0"/>
                <w:bCs w:val="0"/>
                <w:color w:val="auto"/>
                <w:sz w:val="24"/>
                <w:lang w:val="en-US" w:eastAsia="zh-CN"/>
              </w:rPr>
              <w:t>位置</w:t>
            </w:r>
          </w:p>
        </w:tc>
        <w:tc>
          <w:tcPr>
            <w:tcW w:w="1107" w:type="dxa"/>
            <w:tcBorders>
              <w:tl2br w:val="nil"/>
              <w:tr2bl w:val="nil"/>
            </w:tcBorders>
            <w:noWrap w:val="0"/>
            <w:vAlign w:val="center"/>
          </w:tcPr>
          <w:p w14:paraId="13AC92B2">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黑体" w:hAnsi="黑体" w:eastAsia="黑体" w:cs="黑体"/>
                <w:b w:val="0"/>
                <w:bCs w:val="0"/>
                <w:color w:val="auto"/>
                <w:sz w:val="24"/>
                <w:lang w:val="en-US" w:eastAsia="zh-CN"/>
              </w:rPr>
            </w:pPr>
            <w:r>
              <w:rPr>
                <w:rFonts w:hint="eastAsia" w:ascii="黑体" w:hAnsi="黑体" w:eastAsia="黑体" w:cs="黑体"/>
                <w:b w:val="0"/>
                <w:bCs w:val="0"/>
                <w:color w:val="auto"/>
                <w:sz w:val="24"/>
                <w:lang w:val="en-US" w:eastAsia="zh-CN"/>
              </w:rPr>
              <w:t>优惠</w:t>
            </w:r>
          </w:p>
          <w:p w14:paraId="45EC790E">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黑体" w:hAnsi="黑体" w:eastAsia="黑体" w:cs="黑体"/>
                <w:b w:val="0"/>
                <w:bCs w:val="0"/>
                <w:color w:val="auto"/>
                <w:sz w:val="24"/>
                <w:lang w:val="en-US" w:eastAsia="zh-CN"/>
              </w:rPr>
            </w:pPr>
            <w:r>
              <w:rPr>
                <w:rFonts w:hint="eastAsia" w:ascii="黑体" w:hAnsi="黑体" w:eastAsia="黑体" w:cs="黑体"/>
                <w:b w:val="0"/>
                <w:bCs w:val="0"/>
                <w:color w:val="auto"/>
                <w:sz w:val="24"/>
                <w:lang w:val="en-US" w:eastAsia="zh-CN"/>
              </w:rPr>
              <w:t>折扣</w:t>
            </w:r>
          </w:p>
        </w:tc>
        <w:tc>
          <w:tcPr>
            <w:tcW w:w="1665" w:type="dxa"/>
            <w:tcBorders>
              <w:tl2br w:val="nil"/>
              <w:tr2bl w:val="nil"/>
            </w:tcBorders>
            <w:noWrap w:val="0"/>
            <w:vAlign w:val="center"/>
          </w:tcPr>
          <w:p w14:paraId="4705F3A9">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黑体" w:hAnsi="黑体" w:eastAsia="黑体" w:cs="黑体"/>
                <w:b w:val="0"/>
                <w:bCs w:val="0"/>
                <w:color w:val="auto"/>
                <w:sz w:val="24"/>
                <w:lang w:val="en-US" w:eastAsia="zh-CN"/>
              </w:rPr>
            </w:pPr>
            <w:r>
              <w:rPr>
                <w:rFonts w:hint="eastAsia" w:ascii="黑体" w:hAnsi="黑体" w:eastAsia="黑体" w:cs="黑体"/>
                <w:b w:val="0"/>
                <w:bCs w:val="0"/>
                <w:color w:val="auto"/>
                <w:sz w:val="24"/>
                <w:lang w:val="en-US" w:eastAsia="zh-CN"/>
              </w:rPr>
              <w:t>等面积结算标准（元/平方米）</w:t>
            </w:r>
          </w:p>
        </w:tc>
        <w:tc>
          <w:tcPr>
            <w:tcW w:w="1435" w:type="dxa"/>
            <w:tcBorders>
              <w:tl2br w:val="nil"/>
              <w:tr2bl w:val="nil"/>
            </w:tcBorders>
            <w:noWrap w:val="0"/>
            <w:vAlign w:val="center"/>
          </w:tcPr>
          <w:p w14:paraId="08C8730B">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黑体" w:hAnsi="黑体" w:eastAsia="黑体" w:cs="黑体"/>
                <w:b w:val="0"/>
                <w:bCs w:val="0"/>
                <w:color w:val="auto"/>
                <w:sz w:val="24"/>
                <w:lang w:val="en-US" w:eastAsia="zh-CN"/>
              </w:rPr>
            </w:pPr>
            <w:r>
              <w:rPr>
                <w:rFonts w:hint="eastAsia" w:ascii="黑体" w:hAnsi="黑体" w:eastAsia="黑体" w:cs="黑体"/>
                <w:b w:val="0"/>
                <w:bCs w:val="0"/>
                <w:color w:val="auto"/>
                <w:sz w:val="24"/>
                <w:lang w:val="en-US" w:eastAsia="zh-CN"/>
              </w:rPr>
              <w:t>超面积结算标准（元/平方米）</w:t>
            </w:r>
          </w:p>
        </w:tc>
      </w:tr>
      <w:tr w14:paraId="033043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jc w:val="center"/>
        </w:trPr>
        <w:tc>
          <w:tcPr>
            <w:tcW w:w="1578" w:type="dxa"/>
            <w:vMerge w:val="restart"/>
            <w:tcBorders>
              <w:tl2br w:val="nil"/>
              <w:tr2bl w:val="nil"/>
            </w:tcBorders>
            <w:noWrap w:val="0"/>
            <w:vAlign w:val="center"/>
          </w:tcPr>
          <w:p w14:paraId="7DBBD235">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宏牛小区（商品房）</w:t>
            </w:r>
          </w:p>
        </w:tc>
        <w:tc>
          <w:tcPr>
            <w:tcW w:w="1609" w:type="dxa"/>
            <w:vMerge w:val="restart"/>
            <w:tcBorders>
              <w:tl2br w:val="nil"/>
              <w:tr2bl w:val="nil"/>
            </w:tcBorders>
            <w:noWrap w:val="0"/>
            <w:vAlign w:val="center"/>
          </w:tcPr>
          <w:p w14:paraId="2DD92644">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2239</w:t>
            </w:r>
          </w:p>
        </w:tc>
        <w:tc>
          <w:tcPr>
            <w:tcW w:w="1262" w:type="dxa"/>
            <w:tcBorders>
              <w:tl2br w:val="nil"/>
              <w:tr2bl w:val="nil"/>
            </w:tcBorders>
            <w:noWrap w:val="0"/>
            <w:vAlign w:val="center"/>
          </w:tcPr>
          <w:p w14:paraId="0017EA1B">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顶层</w:t>
            </w:r>
          </w:p>
        </w:tc>
        <w:tc>
          <w:tcPr>
            <w:tcW w:w="1107" w:type="dxa"/>
            <w:tcBorders>
              <w:tl2br w:val="nil"/>
              <w:tr2bl w:val="nil"/>
            </w:tcBorders>
            <w:noWrap w:val="0"/>
            <w:vAlign w:val="center"/>
          </w:tcPr>
          <w:p w14:paraId="52B04BD6">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6折</w:t>
            </w:r>
          </w:p>
        </w:tc>
        <w:tc>
          <w:tcPr>
            <w:tcW w:w="1665" w:type="dxa"/>
            <w:tcBorders>
              <w:tl2br w:val="nil"/>
              <w:tr2bl w:val="nil"/>
            </w:tcBorders>
            <w:noWrap w:val="0"/>
            <w:vAlign w:val="center"/>
          </w:tcPr>
          <w:p w14:paraId="532C3C77">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1434</w:t>
            </w:r>
          </w:p>
        </w:tc>
        <w:tc>
          <w:tcPr>
            <w:tcW w:w="1435" w:type="dxa"/>
            <w:vMerge w:val="restart"/>
            <w:tcBorders>
              <w:tl2br w:val="nil"/>
              <w:tr2bl w:val="nil"/>
            </w:tcBorders>
            <w:noWrap w:val="0"/>
            <w:vAlign w:val="center"/>
          </w:tcPr>
          <w:p w14:paraId="73399AB9">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2239</w:t>
            </w:r>
          </w:p>
        </w:tc>
      </w:tr>
      <w:tr w14:paraId="7B4BA0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jc w:val="center"/>
        </w:trPr>
        <w:tc>
          <w:tcPr>
            <w:tcW w:w="1578" w:type="dxa"/>
            <w:vMerge w:val="continue"/>
            <w:tcBorders>
              <w:tl2br w:val="nil"/>
              <w:tr2bl w:val="nil"/>
            </w:tcBorders>
            <w:noWrap w:val="0"/>
            <w:vAlign w:val="center"/>
          </w:tcPr>
          <w:p w14:paraId="4DCD7C95">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color w:val="auto"/>
              </w:rPr>
            </w:pPr>
          </w:p>
        </w:tc>
        <w:tc>
          <w:tcPr>
            <w:tcW w:w="1609" w:type="dxa"/>
            <w:vMerge w:val="continue"/>
            <w:tcBorders>
              <w:tl2br w:val="nil"/>
              <w:tr2bl w:val="nil"/>
            </w:tcBorders>
            <w:noWrap w:val="0"/>
            <w:vAlign w:val="center"/>
          </w:tcPr>
          <w:p w14:paraId="64C7E275">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color w:val="auto"/>
              </w:rPr>
            </w:pPr>
          </w:p>
        </w:tc>
        <w:tc>
          <w:tcPr>
            <w:tcW w:w="1262" w:type="dxa"/>
            <w:tcBorders>
              <w:tl2br w:val="nil"/>
              <w:tr2bl w:val="nil"/>
            </w:tcBorders>
            <w:noWrap w:val="0"/>
            <w:vAlign w:val="center"/>
          </w:tcPr>
          <w:p w14:paraId="64AA9CF9">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非顶层</w:t>
            </w:r>
          </w:p>
        </w:tc>
        <w:tc>
          <w:tcPr>
            <w:tcW w:w="1107" w:type="dxa"/>
            <w:tcBorders>
              <w:tl2br w:val="nil"/>
              <w:tr2bl w:val="nil"/>
            </w:tcBorders>
            <w:noWrap w:val="0"/>
            <w:vAlign w:val="center"/>
          </w:tcPr>
          <w:p w14:paraId="4203D8DC">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7折</w:t>
            </w:r>
          </w:p>
        </w:tc>
        <w:tc>
          <w:tcPr>
            <w:tcW w:w="1665" w:type="dxa"/>
            <w:tcBorders>
              <w:tl2br w:val="nil"/>
              <w:tr2bl w:val="nil"/>
            </w:tcBorders>
            <w:noWrap w:val="0"/>
            <w:vAlign w:val="center"/>
          </w:tcPr>
          <w:p w14:paraId="1C9EFE97">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1567</w:t>
            </w:r>
          </w:p>
        </w:tc>
        <w:tc>
          <w:tcPr>
            <w:tcW w:w="1435" w:type="dxa"/>
            <w:vMerge w:val="continue"/>
            <w:tcBorders>
              <w:tl2br w:val="nil"/>
              <w:tr2bl w:val="nil"/>
            </w:tcBorders>
            <w:noWrap w:val="0"/>
            <w:vAlign w:val="center"/>
          </w:tcPr>
          <w:p w14:paraId="6F0B7D62">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p>
        </w:tc>
      </w:tr>
      <w:tr w14:paraId="75211C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1578" w:type="dxa"/>
            <w:vMerge w:val="restart"/>
            <w:tcBorders>
              <w:tl2br w:val="nil"/>
              <w:tr2bl w:val="nil"/>
            </w:tcBorders>
            <w:noWrap w:val="0"/>
            <w:vAlign w:val="center"/>
          </w:tcPr>
          <w:p w14:paraId="739BDA74">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六草屋一期</w:t>
            </w:r>
          </w:p>
        </w:tc>
        <w:tc>
          <w:tcPr>
            <w:tcW w:w="1609" w:type="dxa"/>
            <w:vMerge w:val="restart"/>
            <w:tcBorders>
              <w:tl2br w:val="nil"/>
              <w:tr2bl w:val="nil"/>
            </w:tcBorders>
            <w:noWrap w:val="0"/>
            <w:vAlign w:val="center"/>
          </w:tcPr>
          <w:p w14:paraId="7EC82FAA">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1346</w:t>
            </w:r>
          </w:p>
        </w:tc>
        <w:tc>
          <w:tcPr>
            <w:tcW w:w="1262" w:type="dxa"/>
            <w:tcBorders>
              <w:tl2br w:val="nil"/>
              <w:tr2bl w:val="nil"/>
            </w:tcBorders>
            <w:noWrap w:val="0"/>
            <w:vAlign w:val="center"/>
          </w:tcPr>
          <w:p w14:paraId="5A92C025">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顶层   （电梯）</w:t>
            </w:r>
          </w:p>
        </w:tc>
        <w:tc>
          <w:tcPr>
            <w:tcW w:w="1107" w:type="dxa"/>
            <w:tcBorders>
              <w:tl2br w:val="nil"/>
              <w:tr2bl w:val="nil"/>
            </w:tcBorders>
            <w:noWrap w:val="0"/>
            <w:vAlign w:val="center"/>
          </w:tcPr>
          <w:p w14:paraId="1FE4605C">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7折</w:t>
            </w:r>
          </w:p>
        </w:tc>
        <w:tc>
          <w:tcPr>
            <w:tcW w:w="1665" w:type="dxa"/>
            <w:tcBorders>
              <w:tl2br w:val="nil"/>
              <w:tr2bl w:val="nil"/>
            </w:tcBorders>
            <w:noWrap w:val="0"/>
            <w:vAlign w:val="center"/>
          </w:tcPr>
          <w:p w14:paraId="1873E84E">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default"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942</w:t>
            </w:r>
          </w:p>
        </w:tc>
        <w:tc>
          <w:tcPr>
            <w:tcW w:w="1435" w:type="dxa"/>
            <w:vMerge w:val="restart"/>
            <w:tcBorders>
              <w:tl2br w:val="nil"/>
              <w:tr2bl w:val="nil"/>
            </w:tcBorders>
            <w:noWrap w:val="0"/>
            <w:vAlign w:val="center"/>
          </w:tcPr>
          <w:p w14:paraId="31B498A3">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1346</w:t>
            </w:r>
          </w:p>
        </w:tc>
      </w:tr>
      <w:tr w14:paraId="78046E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47" w:hRule="atLeast"/>
          <w:jc w:val="center"/>
        </w:trPr>
        <w:tc>
          <w:tcPr>
            <w:tcW w:w="1578" w:type="dxa"/>
            <w:vMerge w:val="continue"/>
            <w:tcBorders>
              <w:tl2br w:val="nil"/>
              <w:tr2bl w:val="nil"/>
            </w:tcBorders>
            <w:noWrap w:val="0"/>
            <w:vAlign w:val="center"/>
          </w:tcPr>
          <w:p w14:paraId="340C03D5">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p>
        </w:tc>
        <w:tc>
          <w:tcPr>
            <w:tcW w:w="1609" w:type="dxa"/>
            <w:vMerge w:val="continue"/>
            <w:tcBorders>
              <w:tl2br w:val="nil"/>
              <w:tr2bl w:val="nil"/>
            </w:tcBorders>
            <w:noWrap w:val="0"/>
            <w:vAlign w:val="center"/>
          </w:tcPr>
          <w:p w14:paraId="612AC9BF">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p>
        </w:tc>
        <w:tc>
          <w:tcPr>
            <w:tcW w:w="1262" w:type="dxa"/>
            <w:tcBorders>
              <w:tl2br w:val="nil"/>
              <w:tr2bl w:val="nil"/>
            </w:tcBorders>
            <w:noWrap w:val="0"/>
            <w:vAlign w:val="center"/>
          </w:tcPr>
          <w:p w14:paraId="4DC92863">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顶层</w:t>
            </w:r>
          </w:p>
        </w:tc>
        <w:tc>
          <w:tcPr>
            <w:tcW w:w="1107" w:type="dxa"/>
            <w:tcBorders>
              <w:tl2br w:val="nil"/>
              <w:tr2bl w:val="nil"/>
            </w:tcBorders>
            <w:noWrap w:val="0"/>
            <w:vAlign w:val="center"/>
          </w:tcPr>
          <w:p w14:paraId="5C8005C2">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6折</w:t>
            </w:r>
          </w:p>
        </w:tc>
        <w:tc>
          <w:tcPr>
            <w:tcW w:w="1665" w:type="dxa"/>
            <w:tcBorders>
              <w:tl2br w:val="nil"/>
              <w:tr2bl w:val="nil"/>
            </w:tcBorders>
            <w:noWrap w:val="0"/>
            <w:vAlign w:val="center"/>
          </w:tcPr>
          <w:p w14:paraId="5CB20CD5">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default"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807</w:t>
            </w:r>
          </w:p>
        </w:tc>
        <w:tc>
          <w:tcPr>
            <w:tcW w:w="1435" w:type="dxa"/>
            <w:vMerge w:val="continue"/>
            <w:tcBorders>
              <w:tl2br w:val="nil"/>
              <w:tr2bl w:val="nil"/>
            </w:tcBorders>
            <w:noWrap w:val="0"/>
            <w:vAlign w:val="center"/>
          </w:tcPr>
          <w:p w14:paraId="5FDEF02E">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p>
        </w:tc>
      </w:tr>
      <w:tr w14:paraId="3C8331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7" w:hRule="atLeast"/>
          <w:jc w:val="center"/>
        </w:trPr>
        <w:tc>
          <w:tcPr>
            <w:tcW w:w="1578" w:type="dxa"/>
            <w:tcBorders>
              <w:tl2br w:val="nil"/>
              <w:tr2bl w:val="nil"/>
            </w:tcBorders>
            <w:noWrap w:val="0"/>
            <w:vAlign w:val="center"/>
          </w:tcPr>
          <w:p w14:paraId="6078787D">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太山庙一期</w:t>
            </w:r>
          </w:p>
        </w:tc>
        <w:tc>
          <w:tcPr>
            <w:tcW w:w="1609" w:type="dxa"/>
            <w:tcBorders>
              <w:tl2br w:val="nil"/>
              <w:tr2bl w:val="nil"/>
            </w:tcBorders>
            <w:noWrap w:val="0"/>
            <w:vAlign w:val="center"/>
          </w:tcPr>
          <w:p w14:paraId="5F708252">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1346</w:t>
            </w:r>
          </w:p>
        </w:tc>
        <w:tc>
          <w:tcPr>
            <w:tcW w:w="1262" w:type="dxa"/>
            <w:tcBorders>
              <w:tl2br w:val="nil"/>
              <w:tr2bl w:val="nil"/>
            </w:tcBorders>
            <w:noWrap w:val="0"/>
            <w:vAlign w:val="center"/>
          </w:tcPr>
          <w:p w14:paraId="730CBFE9">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顶层</w:t>
            </w:r>
          </w:p>
        </w:tc>
        <w:tc>
          <w:tcPr>
            <w:tcW w:w="1107" w:type="dxa"/>
            <w:tcBorders>
              <w:tl2br w:val="nil"/>
              <w:tr2bl w:val="nil"/>
            </w:tcBorders>
            <w:noWrap w:val="0"/>
            <w:vAlign w:val="center"/>
          </w:tcPr>
          <w:p w14:paraId="35992186">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6折</w:t>
            </w:r>
          </w:p>
        </w:tc>
        <w:tc>
          <w:tcPr>
            <w:tcW w:w="1665" w:type="dxa"/>
            <w:tcBorders>
              <w:tl2br w:val="nil"/>
              <w:tr2bl w:val="nil"/>
            </w:tcBorders>
            <w:noWrap w:val="0"/>
            <w:vAlign w:val="center"/>
          </w:tcPr>
          <w:p w14:paraId="7BFA4A11">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807</w:t>
            </w:r>
          </w:p>
        </w:tc>
        <w:tc>
          <w:tcPr>
            <w:tcW w:w="1435" w:type="dxa"/>
            <w:tcBorders>
              <w:tl2br w:val="nil"/>
              <w:tr2bl w:val="nil"/>
            </w:tcBorders>
            <w:noWrap w:val="0"/>
            <w:vAlign w:val="center"/>
          </w:tcPr>
          <w:p w14:paraId="58BD7EAB">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1346</w:t>
            </w:r>
          </w:p>
        </w:tc>
      </w:tr>
      <w:tr w14:paraId="20EB9C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89" w:hRule="atLeast"/>
          <w:jc w:val="center"/>
        </w:trPr>
        <w:tc>
          <w:tcPr>
            <w:tcW w:w="1578" w:type="dxa"/>
            <w:tcBorders>
              <w:tl2br w:val="nil"/>
              <w:tr2bl w:val="nil"/>
            </w:tcBorders>
            <w:noWrap w:val="0"/>
            <w:vAlign w:val="center"/>
          </w:tcPr>
          <w:p w14:paraId="50E693BE">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龚家棚一期</w:t>
            </w:r>
          </w:p>
        </w:tc>
        <w:tc>
          <w:tcPr>
            <w:tcW w:w="1609" w:type="dxa"/>
            <w:tcBorders>
              <w:tl2br w:val="nil"/>
              <w:tr2bl w:val="nil"/>
            </w:tcBorders>
            <w:noWrap w:val="0"/>
            <w:vAlign w:val="center"/>
          </w:tcPr>
          <w:p w14:paraId="652C3595">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1346</w:t>
            </w:r>
          </w:p>
        </w:tc>
        <w:tc>
          <w:tcPr>
            <w:tcW w:w="1262" w:type="dxa"/>
            <w:tcBorders>
              <w:tl2br w:val="nil"/>
              <w:tr2bl w:val="nil"/>
            </w:tcBorders>
            <w:noWrap w:val="0"/>
            <w:vAlign w:val="center"/>
          </w:tcPr>
          <w:p w14:paraId="425719F8">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顶层</w:t>
            </w:r>
          </w:p>
        </w:tc>
        <w:tc>
          <w:tcPr>
            <w:tcW w:w="1107" w:type="dxa"/>
            <w:tcBorders>
              <w:tl2br w:val="nil"/>
              <w:tr2bl w:val="nil"/>
            </w:tcBorders>
            <w:noWrap w:val="0"/>
            <w:vAlign w:val="center"/>
          </w:tcPr>
          <w:p w14:paraId="1BD0A889">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6折</w:t>
            </w:r>
          </w:p>
        </w:tc>
        <w:tc>
          <w:tcPr>
            <w:tcW w:w="1665" w:type="dxa"/>
            <w:tcBorders>
              <w:tl2br w:val="nil"/>
              <w:tr2bl w:val="nil"/>
            </w:tcBorders>
            <w:noWrap w:val="0"/>
            <w:vAlign w:val="center"/>
          </w:tcPr>
          <w:p w14:paraId="37DC0B0B">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b w:val="0"/>
                <w:bCs w:val="0"/>
                <w:color w:val="auto"/>
                <w:sz w:val="24"/>
                <w:lang w:val="en-US" w:eastAsia="zh-CN"/>
              </w:rPr>
              <w:t>807</w:t>
            </w:r>
          </w:p>
        </w:tc>
        <w:tc>
          <w:tcPr>
            <w:tcW w:w="1435" w:type="dxa"/>
            <w:tcBorders>
              <w:tl2br w:val="nil"/>
              <w:tr2bl w:val="nil"/>
            </w:tcBorders>
            <w:noWrap w:val="0"/>
            <w:vAlign w:val="center"/>
          </w:tcPr>
          <w:p w14:paraId="247EBFFB">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1346</w:t>
            </w:r>
          </w:p>
        </w:tc>
      </w:tr>
      <w:tr w14:paraId="29323D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98" w:hRule="atLeast"/>
          <w:jc w:val="center"/>
        </w:trPr>
        <w:tc>
          <w:tcPr>
            <w:tcW w:w="1578" w:type="dxa"/>
            <w:vMerge w:val="restart"/>
            <w:tcBorders>
              <w:tl2br w:val="nil"/>
              <w:tr2bl w:val="nil"/>
            </w:tcBorders>
            <w:noWrap w:val="0"/>
            <w:vAlign w:val="center"/>
          </w:tcPr>
          <w:p w14:paraId="382A4559">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新春一期</w:t>
            </w:r>
          </w:p>
        </w:tc>
        <w:tc>
          <w:tcPr>
            <w:tcW w:w="1609" w:type="dxa"/>
            <w:vMerge w:val="restart"/>
            <w:tcBorders>
              <w:tl2br w:val="nil"/>
              <w:tr2bl w:val="nil"/>
            </w:tcBorders>
            <w:noWrap w:val="0"/>
            <w:vAlign w:val="center"/>
          </w:tcPr>
          <w:p w14:paraId="75E747BB">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1346</w:t>
            </w:r>
          </w:p>
        </w:tc>
        <w:tc>
          <w:tcPr>
            <w:tcW w:w="1262" w:type="dxa"/>
            <w:tcBorders>
              <w:tl2br w:val="nil"/>
              <w:tr2bl w:val="nil"/>
            </w:tcBorders>
            <w:noWrap w:val="0"/>
            <w:vAlign w:val="center"/>
          </w:tcPr>
          <w:p w14:paraId="3FFBDBDE">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顶层</w:t>
            </w:r>
          </w:p>
        </w:tc>
        <w:tc>
          <w:tcPr>
            <w:tcW w:w="1107" w:type="dxa"/>
            <w:tcBorders>
              <w:tl2br w:val="nil"/>
              <w:tr2bl w:val="nil"/>
            </w:tcBorders>
            <w:noWrap w:val="0"/>
            <w:vAlign w:val="center"/>
          </w:tcPr>
          <w:p w14:paraId="1B32F210">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6折</w:t>
            </w:r>
          </w:p>
        </w:tc>
        <w:tc>
          <w:tcPr>
            <w:tcW w:w="1665" w:type="dxa"/>
            <w:tcBorders>
              <w:tl2br w:val="nil"/>
              <w:tr2bl w:val="nil"/>
            </w:tcBorders>
            <w:noWrap w:val="0"/>
            <w:vAlign w:val="center"/>
          </w:tcPr>
          <w:p w14:paraId="0845B94E">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807</w:t>
            </w:r>
          </w:p>
        </w:tc>
        <w:tc>
          <w:tcPr>
            <w:tcW w:w="1435" w:type="dxa"/>
            <w:vMerge w:val="restart"/>
            <w:tcBorders>
              <w:tl2br w:val="nil"/>
              <w:tr2bl w:val="nil"/>
            </w:tcBorders>
            <w:noWrap w:val="0"/>
            <w:vAlign w:val="center"/>
          </w:tcPr>
          <w:p w14:paraId="59EEDF53">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1346</w:t>
            </w:r>
          </w:p>
        </w:tc>
      </w:tr>
      <w:tr w14:paraId="67FBBB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29" w:hRule="atLeast"/>
          <w:jc w:val="center"/>
        </w:trPr>
        <w:tc>
          <w:tcPr>
            <w:tcW w:w="1578" w:type="dxa"/>
            <w:vMerge w:val="continue"/>
            <w:tcBorders>
              <w:tl2br w:val="nil"/>
              <w:tr2bl w:val="nil"/>
            </w:tcBorders>
            <w:noWrap w:val="0"/>
            <w:vAlign w:val="center"/>
          </w:tcPr>
          <w:p w14:paraId="4E8F5E9B">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p>
        </w:tc>
        <w:tc>
          <w:tcPr>
            <w:tcW w:w="1609" w:type="dxa"/>
            <w:vMerge w:val="continue"/>
            <w:tcBorders>
              <w:tl2br w:val="nil"/>
              <w:tr2bl w:val="nil"/>
            </w:tcBorders>
            <w:noWrap w:val="0"/>
            <w:vAlign w:val="center"/>
          </w:tcPr>
          <w:p w14:paraId="3AA0921A">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color w:val="auto"/>
                <w:sz w:val="24"/>
                <w:lang w:val="en-US" w:eastAsia="zh-CN"/>
              </w:rPr>
            </w:pPr>
          </w:p>
        </w:tc>
        <w:tc>
          <w:tcPr>
            <w:tcW w:w="1262" w:type="dxa"/>
            <w:tcBorders>
              <w:tl2br w:val="nil"/>
              <w:tr2bl w:val="nil"/>
            </w:tcBorders>
            <w:noWrap w:val="0"/>
            <w:vAlign w:val="center"/>
          </w:tcPr>
          <w:p w14:paraId="609AB485">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非顶层</w:t>
            </w:r>
          </w:p>
        </w:tc>
        <w:tc>
          <w:tcPr>
            <w:tcW w:w="1107" w:type="dxa"/>
            <w:tcBorders>
              <w:tl2br w:val="nil"/>
              <w:tr2bl w:val="nil"/>
            </w:tcBorders>
            <w:noWrap w:val="0"/>
            <w:vAlign w:val="center"/>
          </w:tcPr>
          <w:p w14:paraId="41138110">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7折</w:t>
            </w:r>
          </w:p>
        </w:tc>
        <w:tc>
          <w:tcPr>
            <w:tcW w:w="1665" w:type="dxa"/>
            <w:tcBorders>
              <w:tl2br w:val="nil"/>
              <w:tr2bl w:val="nil"/>
            </w:tcBorders>
            <w:noWrap w:val="0"/>
            <w:vAlign w:val="center"/>
          </w:tcPr>
          <w:p w14:paraId="50D8B421">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942</w:t>
            </w:r>
          </w:p>
        </w:tc>
        <w:tc>
          <w:tcPr>
            <w:tcW w:w="1435" w:type="dxa"/>
            <w:vMerge w:val="continue"/>
            <w:tcBorders>
              <w:tl2br w:val="nil"/>
              <w:tr2bl w:val="nil"/>
            </w:tcBorders>
            <w:noWrap w:val="0"/>
            <w:vAlign w:val="center"/>
          </w:tcPr>
          <w:p w14:paraId="257ED3C6">
            <w:pPr>
              <w:keepNext w:val="0"/>
              <w:keepLines w:val="0"/>
              <w:pageBreakBefore w:val="0"/>
              <w:widowControl w:val="0"/>
              <w:kinsoku/>
              <w:wordWrap/>
              <w:overflowPunct/>
              <w:topLinePunct w:val="0"/>
              <w:autoSpaceDE/>
              <w:autoSpaceDN/>
              <w:bidi w:val="0"/>
              <w:adjustRightInd w:val="0"/>
              <w:snapToGrid w:val="0"/>
              <w:spacing w:before="100" w:beforeAutospacing="1" w:line="400" w:lineRule="exact"/>
              <w:jc w:val="center"/>
              <w:textAlignment w:val="auto"/>
              <w:rPr>
                <w:rFonts w:hint="eastAsia" w:ascii="Times New Roman" w:hAnsi="Times New Roman" w:eastAsia="仿宋_GB2312" w:cs="Times New Roman"/>
                <w:b w:val="0"/>
                <w:bCs w:val="0"/>
                <w:color w:val="auto"/>
                <w:sz w:val="24"/>
                <w:lang w:val="en-US" w:eastAsia="zh-CN"/>
              </w:rPr>
            </w:pPr>
          </w:p>
        </w:tc>
      </w:tr>
    </w:tbl>
    <w:p w14:paraId="598D57F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p>
    <w:p w14:paraId="357BA7B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备注：具体房源以签订协议时为准。</w:t>
      </w:r>
    </w:p>
    <w:p w14:paraId="7862622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p>
    <w:p w14:paraId="267C2227"/>
    <w:sectPr>
      <w:headerReference r:id="rId3" w:type="default"/>
      <w:footerReference r:id="rId4" w:type="default"/>
      <w:pgSz w:w="11907" w:h="16840"/>
      <w:pgMar w:top="1701" w:right="1531" w:bottom="1701" w:left="1531" w:header="851" w:footer="1304" w:gutter="0"/>
      <w:pgBorders>
        <w:top w:val="none" w:sz="0" w:space="0"/>
        <w:left w:val="none" w:sz="0" w:space="0"/>
        <w:bottom w:val="none" w:sz="0" w:space="0"/>
        <w:right w:val="none" w:sz="0" w:space="0"/>
      </w:pgBorders>
      <w:pgNumType w:fmt="decimal" w:start="3"/>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3D3EB">
    <w:pPr>
      <w:pStyle w:val="5"/>
      <w:ind w:right="360"/>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AEE75B">
                          <w:pPr>
                            <w:pStyle w:val="5"/>
                          </w:pPr>
                          <w:r>
                            <w:t xml:space="preserve">— </w:t>
                          </w:r>
                          <w:r>
                            <w:fldChar w:fldCharType="begin"/>
                          </w:r>
                          <w:r>
                            <w:instrText xml:space="preserve"> PAGE  \* MERGEFORMAT </w:instrText>
                          </w:r>
                          <w:r>
                            <w:fldChar w:fldCharType="separate"/>
                          </w:r>
                          <w:r>
                            <w:t>3</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3CAEE75B">
                    <w:pPr>
                      <w:pStyle w:val="5"/>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5B032">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B11D47"/>
    <w:rsid w:val="0B1338B8"/>
    <w:rsid w:val="0B7218AA"/>
    <w:rsid w:val="118237B0"/>
    <w:rsid w:val="23464B13"/>
    <w:rsid w:val="274E4B21"/>
    <w:rsid w:val="28ED67B2"/>
    <w:rsid w:val="2FB461D1"/>
    <w:rsid w:val="32D27045"/>
    <w:rsid w:val="336747D4"/>
    <w:rsid w:val="4304455B"/>
    <w:rsid w:val="449D5517"/>
    <w:rsid w:val="4CB11D47"/>
    <w:rsid w:val="4EF460F6"/>
    <w:rsid w:val="52C825DD"/>
    <w:rsid w:val="57720FDC"/>
    <w:rsid w:val="5F1E5F60"/>
    <w:rsid w:val="64610BB1"/>
    <w:rsid w:val="758D0C8F"/>
    <w:rsid w:val="7B0E1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0" w:after="0" w:afterAutospacing="0" w:line="600" w:lineRule="exact"/>
      <w:jc w:val="center"/>
      <w:outlineLvl w:val="0"/>
    </w:pPr>
    <w:rPr>
      <w:rFonts w:hint="eastAsia" w:ascii="宋体" w:hAnsi="宋体" w:eastAsia="方正小标宋简体" w:cs="宋体"/>
      <w:bCs/>
      <w:kern w:val="44"/>
      <w:sz w:val="44"/>
      <w:szCs w:val="48"/>
      <w:lang w:bidi="ar"/>
    </w:rPr>
  </w:style>
  <w:style w:type="paragraph" w:styleId="3">
    <w:name w:val="heading 2"/>
    <w:basedOn w:val="1"/>
    <w:next w:val="1"/>
    <w:link w:val="10"/>
    <w:semiHidden/>
    <w:unhideWhenUsed/>
    <w:qFormat/>
    <w:uiPriority w:val="0"/>
    <w:pPr>
      <w:keepNext/>
      <w:keepLines/>
      <w:spacing w:beforeLines="0" w:beforeAutospacing="0" w:afterLines="0" w:afterAutospacing="0" w:line="600" w:lineRule="exact"/>
      <w:ind w:firstLine="872" w:firstLineChars="200"/>
      <w:jc w:val="both"/>
      <w:outlineLvl w:val="1"/>
    </w:pPr>
    <w:rPr>
      <w:rFonts w:ascii="Arial" w:hAnsi="Arial" w:eastAsia="黑体" w:cs="Times New Roman"/>
      <w:kern w:val="0"/>
      <w:szCs w:val="22"/>
    </w:rPr>
  </w:style>
  <w:style w:type="paragraph" w:styleId="4">
    <w:name w:val="heading 3"/>
    <w:basedOn w:val="1"/>
    <w:next w:val="1"/>
    <w:semiHidden/>
    <w:unhideWhenUsed/>
    <w:qFormat/>
    <w:uiPriority w:val="0"/>
    <w:pPr>
      <w:keepNext/>
      <w:keepLines/>
      <w:spacing w:beforeLines="0" w:beforeAutospacing="0" w:afterLines="0" w:afterAutospacing="0" w:line="600" w:lineRule="exact"/>
      <w:ind w:firstLine="880" w:firstLineChars="200"/>
      <w:outlineLvl w:val="2"/>
    </w:pPr>
    <w:rPr>
      <w:rFonts w:ascii="Tahoma" w:hAnsi="Tahoma" w:eastAsia="楷体_GB2312" w:cs="Times New Roman"/>
      <w:kern w:val="0"/>
      <w:sz w:val="32"/>
      <w:szCs w:val="2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样式1"/>
    <w:basedOn w:val="1"/>
    <w:qFormat/>
    <w:uiPriority w:val="0"/>
    <w:pPr>
      <w:spacing w:beforeAutospacing="1" w:after="200" w:afterAutospacing="1"/>
      <w:jc w:val="center"/>
      <w:outlineLvl w:val="0"/>
    </w:pPr>
    <w:rPr>
      <w:rFonts w:hint="eastAsia" w:ascii="方正小标宋简体" w:hAnsi="方正小标宋简体" w:eastAsia="方正小标宋简体" w:cs="方正小标宋简体"/>
      <w:color w:val="auto"/>
      <w:kern w:val="44"/>
      <w:sz w:val="44"/>
      <w:szCs w:val="44"/>
      <w:lang w:bidi="ar"/>
    </w:rPr>
  </w:style>
  <w:style w:type="character" w:customStyle="1" w:styleId="10">
    <w:name w:val="标题 2 Char"/>
    <w:link w:val="3"/>
    <w:qFormat/>
    <w:uiPriority w:val="0"/>
    <w:rPr>
      <w:rFonts w:ascii="Arial" w:hAnsi="Arial" w:eastAsia="黑体" w:cs="Times New Roman"/>
      <w:kern w:val="0"/>
      <w:sz w:val="3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2026-02-12T09:36:00Z</dcterms:created>
  <dc:creator>张琦</dc:creator>
  <cp:lastModifiedBy>张琦</cp:lastModifiedBy>
  <dcterms:modified xsi:type="dcterms:W3CDTF">2026-02-12T09:37:15Z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3AF8C400BC7D49D79F70856D0A2E27C8_11</vt:lpwstr>
  </property>
  <property fmtid="{D5CDD505-2E9C-101B-9397-08002B2CF9AE}" pid="4" name="KSOTemplateDocerSaveRecord">
    <vt:lpwstr>eyJoZGlkIjoiNWIwYTM2ZmY3MzVlM2I0N2E4NDMxYmVmOGY0YzhhOGIiLCJ1c2VySWQiOiIzMTA4MzUzNjkifQ==</vt:lpwstr>
  </property>
</Properties>
</file>