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2512B">
      <w:pPr>
        <w:spacing w:line="241" w:lineRule="auto"/>
        <w:rPr>
          <w:rFonts w:ascii="Arial"/>
          <w:sz w:val="21"/>
        </w:rPr>
      </w:pPr>
    </w:p>
    <w:p w14:paraId="78C76E37">
      <w:pPr>
        <w:spacing w:line="242" w:lineRule="auto"/>
        <w:rPr>
          <w:rFonts w:ascii="Arial"/>
          <w:sz w:val="21"/>
        </w:rPr>
      </w:pPr>
    </w:p>
    <w:p w14:paraId="51A493A4">
      <w:pPr>
        <w:spacing w:line="242" w:lineRule="auto"/>
        <w:rPr>
          <w:rFonts w:ascii="Arial"/>
          <w:sz w:val="21"/>
        </w:rPr>
      </w:pPr>
    </w:p>
    <w:p w14:paraId="5B7147E7">
      <w:pPr>
        <w:spacing w:line="242" w:lineRule="auto"/>
        <w:rPr>
          <w:rFonts w:ascii="Arial"/>
          <w:sz w:val="21"/>
        </w:rPr>
      </w:pPr>
    </w:p>
    <w:p w14:paraId="172DAE37">
      <w:pPr>
        <w:spacing w:line="242" w:lineRule="auto"/>
        <w:rPr>
          <w:rFonts w:ascii="Arial"/>
          <w:sz w:val="21"/>
        </w:rPr>
      </w:pPr>
    </w:p>
    <w:p w14:paraId="00C8A370">
      <w:pPr>
        <w:spacing w:before="130" w:line="262" w:lineRule="auto"/>
        <w:ind w:left="1973" w:right="1319" w:hanging="805"/>
        <w:outlineLvl w:val="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5"/>
          <w:sz w:val="40"/>
          <w:szCs w:val="40"/>
        </w:rPr>
        <w:t>随州市房屋建筑和市政基础设施工程</w:t>
      </w:r>
      <w:r>
        <w:rPr>
          <w:rFonts w:ascii="宋体" w:hAnsi="宋体" w:eastAsia="宋体" w:cs="宋体"/>
          <w:spacing w:val="6"/>
          <w:sz w:val="40"/>
          <w:szCs w:val="40"/>
        </w:rPr>
        <w:t xml:space="preserve"> </w:t>
      </w:r>
      <w:r>
        <w:rPr>
          <w:rFonts w:ascii="宋体" w:hAnsi="宋体" w:eastAsia="宋体" w:cs="宋体"/>
          <w:b/>
          <w:bCs/>
          <w:spacing w:val="-6"/>
          <w:sz w:val="40"/>
          <w:szCs w:val="40"/>
        </w:rPr>
        <w:t>招标投标评定分离实施办法</w:t>
      </w:r>
    </w:p>
    <w:p w14:paraId="5F2891F9">
      <w:pPr>
        <w:spacing w:line="316" w:lineRule="auto"/>
        <w:rPr>
          <w:rFonts w:ascii="Arial"/>
          <w:sz w:val="21"/>
        </w:rPr>
      </w:pPr>
    </w:p>
    <w:p w14:paraId="273106D1">
      <w:pPr>
        <w:spacing w:line="316" w:lineRule="auto"/>
        <w:rPr>
          <w:rFonts w:ascii="Arial"/>
          <w:sz w:val="21"/>
        </w:rPr>
      </w:pPr>
    </w:p>
    <w:p w14:paraId="23C50BF3">
      <w:pPr>
        <w:spacing w:before="101" w:line="227" w:lineRule="auto"/>
        <w:ind w:left="32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第一章</w:t>
      </w:r>
      <w:r>
        <w:rPr>
          <w:rFonts w:ascii="黑体" w:hAnsi="黑体" w:eastAsia="黑体" w:cs="黑体"/>
          <w:spacing w:val="14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1"/>
          <w:sz w:val="31"/>
          <w:szCs w:val="31"/>
        </w:rPr>
        <w:t>总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1"/>
          <w:sz w:val="31"/>
          <w:szCs w:val="31"/>
        </w:rPr>
        <w:t>则</w:t>
      </w:r>
    </w:p>
    <w:p w14:paraId="7222EDD6">
      <w:pPr>
        <w:spacing w:line="341" w:lineRule="auto"/>
        <w:rPr>
          <w:rFonts w:ascii="Arial"/>
          <w:sz w:val="21"/>
        </w:rPr>
      </w:pPr>
    </w:p>
    <w:p w14:paraId="53486A53">
      <w:pPr>
        <w:spacing w:line="342" w:lineRule="auto"/>
        <w:rPr>
          <w:rFonts w:ascii="Arial"/>
          <w:sz w:val="21"/>
        </w:rPr>
      </w:pPr>
      <w:bookmarkStart w:id="0" w:name="_GoBack"/>
      <w:bookmarkEnd w:id="0"/>
    </w:p>
    <w:p w14:paraId="08C4681E">
      <w:pPr>
        <w:pStyle w:val="2"/>
        <w:spacing w:before="100" w:line="342" w:lineRule="auto"/>
        <w:ind w:firstLine="648"/>
      </w:pPr>
      <w:r>
        <w:rPr>
          <w:rFonts w:ascii="黑体" w:hAnsi="黑体" w:eastAsia="黑体" w:cs="黑体"/>
          <w:spacing w:val="12"/>
        </w:rPr>
        <w:t xml:space="preserve">第一条  </w:t>
      </w:r>
      <w:r>
        <w:rPr>
          <w:spacing w:val="12"/>
        </w:rPr>
        <w:t>为积极推进房屋建筑和市政基础设施工程招标投</w:t>
      </w:r>
      <w:r>
        <w:rPr>
          <w:spacing w:val="7"/>
        </w:rPr>
        <w:t xml:space="preserve">  </w:t>
      </w:r>
      <w:r>
        <w:rPr>
          <w:spacing w:val="13"/>
        </w:rPr>
        <w:t>标制度改革，进一步落实招标人主体责任，根据国务院办公厅</w:t>
      </w:r>
      <w:r>
        <w:rPr>
          <w:spacing w:val="2"/>
        </w:rPr>
        <w:t xml:space="preserve">  </w:t>
      </w:r>
      <w:r>
        <w:rPr>
          <w:spacing w:val="13"/>
        </w:rPr>
        <w:t>《关于创新完善体制机制推动招标投标市场规范健康发展的意</w:t>
      </w:r>
      <w:r>
        <w:rPr>
          <w:spacing w:val="2"/>
        </w:rPr>
        <w:t xml:space="preserve">  </w:t>
      </w:r>
      <w:r>
        <w:rPr>
          <w:spacing w:val="-5"/>
        </w:rPr>
        <w:t>见》（</w:t>
      </w:r>
      <w:r>
        <w:rPr>
          <w:spacing w:val="-59"/>
        </w:rPr>
        <w:t xml:space="preserve"> </w:t>
      </w:r>
      <w:r>
        <w:rPr>
          <w:spacing w:val="-5"/>
        </w:rPr>
        <w:t>国办发〔</w:t>
      </w:r>
      <w:r>
        <w:rPr>
          <w:rFonts w:ascii="Times New Roman" w:hAnsi="Times New Roman" w:eastAsia="Times New Roman" w:cs="Times New Roman"/>
          <w:spacing w:val="-5"/>
        </w:rPr>
        <w:t>2024</w:t>
      </w:r>
      <w:r>
        <w:rPr>
          <w:spacing w:val="-5"/>
        </w:rPr>
        <w:t>〕</w:t>
      </w:r>
      <w:r>
        <w:rPr>
          <w:rFonts w:ascii="Times New Roman" w:hAnsi="Times New Roman" w:eastAsia="Times New Roman" w:cs="Times New Roman"/>
          <w:spacing w:val="-5"/>
        </w:rPr>
        <w:t>21</w:t>
      </w:r>
      <w:r>
        <w:rPr>
          <w:rFonts w:ascii="Times New Roman" w:hAnsi="Times New Roman" w:eastAsia="Times New Roman" w:cs="Times New Roman"/>
          <w:spacing w:val="26"/>
          <w:w w:val="101"/>
        </w:rPr>
        <w:t xml:space="preserve"> </w:t>
      </w:r>
      <w:r>
        <w:rPr>
          <w:spacing w:val="-5"/>
        </w:rPr>
        <w:t>号）、住房和城乡建设部《关于进一步</w:t>
      </w:r>
      <w:r>
        <w:t xml:space="preserve">  </w:t>
      </w:r>
      <w:r>
        <w:rPr>
          <w:spacing w:val="19"/>
        </w:rPr>
        <w:t>加强房屋建筑和市政基础设施工程招标投标监管的指导意</w:t>
      </w:r>
      <w:r>
        <w:rPr>
          <w:spacing w:val="18"/>
        </w:rPr>
        <w:t>见》</w:t>
      </w:r>
      <w:r>
        <w:t xml:space="preserve"> </w:t>
      </w:r>
      <w:r>
        <w:rPr>
          <w:spacing w:val="8"/>
        </w:rPr>
        <w:t>（建市规〔</w:t>
      </w:r>
      <w:r>
        <w:rPr>
          <w:rFonts w:ascii="Times New Roman" w:hAnsi="Times New Roman" w:eastAsia="Times New Roman" w:cs="Times New Roman"/>
          <w:spacing w:val="8"/>
        </w:rPr>
        <w:t>2019</w:t>
      </w:r>
      <w:r>
        <w:rPr>
          <w:spacing w:val="8"/>
        </w:rPr>
        <w:t>〕</w:t>
      </w:r>
      <w:r>
        <w:rPr>
          <w:rFonts w:ascii="Times New Roman" w:hAnsi="Times New Roman" w:eastAsia="Times New Roman" w:cs="Times New Roman"/>
          <w:spacing w:val="8"/>
        </w:rPr>
        <w:t>11</w:t>
      </w:r>
      <w:r>
        <w:rPr>
          <w:rFonts w:ascii="Times New Roman" w:hAnsi="Times New Roman" w:eastAsia="Times New Roman" w:cs="Times New Roman"/>
          <w:spacing w:val="37"/>
          <w:w w:val="101"/>
        </w:rPr>
        <w:t xml:space="preserve"> </w:t>
      </w:r>
      <w:r>
        <w:rPr>
          <w:spacing w:val="8"/>
        </w:rPr>
        <w:t>号）和湖北省发展和改革委员会《关于印</w:t>
      </w:r>
      <w:r>
        <w:t xml:space="preserve">  </w:t>
      </w:r>
      <w:r>
        <w:rPr>
          <w:spacing w:val="13"/>
        </w:rPr>
        <w:t>发创新完善体制机制推动招标投标市场规范健康发展实施意见</w:t>
      </w:r>
      <w:r>
        <w:rPr>
          <w:spacing w:val="2"/>
        </w:rPr>
        <w:t xml:space="preserve">  </w:t>
      </w:r>
      <w:r>
        <w:rPr>
          <w:spacing w:val="-7"/>
        </w:rPr>
        <w:t>的通知》（鄂发改公管〔</w:t>
      </w:r>
      <w:r>
        <w:rPr>
          <w:rFonts w:ascii="Times New Roman" w:hAnsi="Times New Roman" w:eastAsia="Times New Roman" w:cs="Times New Roman"/>
          <w:spacing w:val="-7"/>
        </w:rPr>
        <w:t>2024</w:t>
      </w:r>
      <w:r>
        <w:rPr>
          <w:spacing w:val="-7"/>
        </w:rPr>
        <w:t>〕</w:t>
      </w:r>
      <w:r>
        <w:rPr>
          <w:rFonts w:ascii="Times New Roman" w:hAnsi="Times New Roman" w:eastAsia="Times New Roman" w:cs="Times New Roman"/>
          <w:spacing w:val="-7"/>
        </w:rPr>
        <w:t>351</w:t>
      </w:r>
      <w:r>
        <w:rPr>
          <w:rFonts w:ascii="Times New Roman" w:hAnsi="Times New Roman" w:eastAsia="Times New Roman" w:cs="Times New Roman"/>
          <w:spacing w:val="36"/>
          <w:w w:val="101"/>
        </w:rPr>
        <w:t xml:space="preserve"> </w:t>
      </w:r>
      <w:r>
        <w:rPr>
          <w:spacing w:val="-7"/>
        </w:rPr>
        <w:t>号）、《湖北省房屋建筑和市</w:t>
      </w:r>
      <w:r>
        <w:t xml:space="preserve">  </w:t>
      </w:r>
      <w:r>
        <w:rPr>
          <w:spacing w:val="-4"/>
        </w:rPr>
        <w:t>政基础设施工程招标投标评定分离实施办法》（鄂公管文〔</w:t>
      </w:r>
      <w:r>
        <w:rPr>
          <w:rFonts w:ascii="Times New Roman" w:hAnsi="Times New Roman" w:eastAsia="Times New Roman" w:cs="Times New Roman"/>
          <w:spacing w:val="-4"/>
        </w:rPr>
        <w:t>2023</w:t>
      </w:r>
      <w:r>
        <w:rPr>
          <w:spacing w:val="-4"/>
        </w:rPr>
        <w:t>〕</w:t>
      </w:r>
      <w:r>
        <w:rPr>
          <w:spacing w:val="14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25</w:t>
      </w:r>
      <w:r>
        <w:rPr>
          <w:rFonts w:ascii="Times New Roman" w:hAnsi="Times New Roman" w:eastAsia="Times New Roman" w:cs="Times New Roman"/>
          <w:spacing w:val="44"/>
          <w:w w:val="101"/>
        </w:rPr>
        <w:t xml:space="preserve"> </w:t>
      </w:r>
      <w:r>
        <w:rPr>
          <w:spacing w:val="7"/>
        </w:rPr>
        <w:t>号）等文件规定，结合我市实际，制定本办法。</w:t>
      </w:r>
    </w:p>
    <w:p w14:paraId="5F2F97C8">
      <w:pPr>
        <w:pStyle w:val="2"/>
        <w:spacing w:before="52" w:line="340" w:lineRule="auto"/>
        <w:ind w:left="7" w:right="141" w:firstLine="640"/>
      </w:pPr>
      <w:r>
        <w:rPr>
          <w:rFonts w:ascii="黑体" w:hAnsi="黑体" w:eastAsia="黑体" w:cs="黑体"/>
          <w:spacing w:val="7"/>
        </w:rPr>
        <w:t xml:space="preserve">第二条  </w:t>
      </w:r>
      <w:r>
        <w:rPr>
          <w:spacing w:val="7"/>
        </w:rPr>
        <w:t>本办法所称评定分离是指将招投标程序中的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spacing w:val="7"/>
        </w:rPr>
        <w:t>评标</w:t>
      </w:r>
      <w:r>
        <w:rPr>
          <w:spacing w:val="14"/>
        </w:rPr>
        <w:t xml:space="preserve"> </w:t>
      </w:r>
      <w:r>
        <w:rPr>
          <w:spacing w:val="-2"/>
        </w:rPr>
        <w:t>委员会评标</w:t>
      </w:r>
      <w:r>
        <w:rPr>
          <w:rFonts w:ascii="Times New Roman" w:hAnsi="Times New Roman" w:eastAsia="Times New Roman" w:cs="Times New Roman"/>
          <w:spacing w:val="-2"/>
        </w:rPr>
        <w:t>”</w:t>
      </w:r>
      <w:r>
        <w:rPr>
          <w:spacing w:val="-2"/>
        </w:rPr>
        <w:t>与</w:t>
      </w:r>
      <w:r>
        <w:rPr>
          <w:rFonts w:ascii="Times New Roman" w:hAnsi="Times New Roman" w:eastAsia="Times New Roman" w:cs="Times New Roman"/>
          <w:spacing w:val="-2"/>
        </w:rPr>
        <w:t>“</w:t>
      </w:r>
      <w:r>
        <w:rPr>
          <w:spacing w:val="-2"/>
        </w:rPr>
        <w:t>招标人定标</w:t>
      </w:r>
      <w:r>
        <w:rPr>
          <w:rFonts w:ascii="Times New Roman" w:hAnsi="Times New Roman" w:eastAsia="Times New Roman" w:cs="Times New Roman"/>
          <w:spacing w:val="-2"/>
        </w:rPr>
        <w:t>”</w:t>
      </w:r>
      <w:r>
        <w:rPr>
          <w:spacing w:val="-2"/>
        </w:rPr>
        <w:t>作为相对独立的两个环节进行分离。</w:t>
      </w:r>
      <w:r>
        <w:rPr>
          <w:spacing w:val="9"/>
        </w:rPr>
        <w:t xml:space="preserve"> </w:t>
      </w:r>
      <w:r>
        <w:rPr>
          <w:spacing w:val="10"/>
        </w:rPr>
        <w:t>评标委员会按招标文件规定的评标办法，</w:t>
      </w:r>
      <w:r>
        <w:rPr>
          <w:spacing w:val="-78"/>
        </w:rPr>
        <w:t xml:space="preserve"> </w:t>
      </w:r>
      <w:r>
        <w:rPr>
          <w:spacing w:val="10"/>
        </w:rPr>
        <w:t>向招标人推荐合格的</w:t>
      </w:r>
      <w:r>
        <w:t xml:space="preserve"> </w:t>
      </w:r>
      <w:r>
        <w:rPr>
          <w:spacing w:val="2"/>
        </w:rPr>
        <w:t>中标候选人。定标委员会按照科学、民主决策原</w:t>
      </w:r>
      <w:r>
        <w:rPr>
          <w:spacing w:val="1"/>
        </w:rPr>
        <w:t>则，建立健全内</w:t>
      </w:r>
      <w:r>
        <w:t xml:space="preserve"> </w:t>
      </w:r>
      <w:r>
        <w:rPr>
          <w:spacing w:val="2"/>
        </w:rPr>
        <w:t>部控制程序和决策约束机制，在综合考虑信用、</w:t>
      </w:r>
      <w:r>
        <w:rPr>
          <w:spacing w:val="1"/>
        </w:rPr>
        <w:t>报价、履约等方</w:t>
      </w:r>
      <w:r>
        <w:t xml:space="preserve"> </w:t>
      </w:r>
      <w:r>
        <w:rPr>
          <w:spacing w:val="-2"/>
        </w:rPr>
        <w:t>面因素的基础上，择优确定中标人。</w:t>
      </w:r>
    </w:p>
    <w:p w14:paraId="5EB0CCE8">
      <w:pPr>
        <w:pStyle w:val="2"/>
        <w:spacing w:before="54" w:line="225" w:lineRule="auto"/>
        <w:ind w:left="648"/>
      </w:pPr>
      <w:r>
        <w:rPr>
          <w:rFonts w:ascii="黑体" w:hAnsi="黑体" w:eastAsia="黑体" w:cs="黑体"/>
          <w:spacing w:val="1"/>
        </w:rPr>
        <w:t xml:space="preserve">第三条  </w:t>
      </w:r>
      <w:r>
        <w:rPr>
          <w:spacing w:val="1"/>
        </w:rPr>
        <w:t>随州市行政区域内依法必须进行招标的房屋建筑和</w:t>
      </w:r>
    </w:p>
    <w:p w14:paraId="642C14AD">
      <w:pPr>
        <w:spacing w:line="225" w:lineRule="auto"/>
        <w:sectPr>
          <w:headerReference r:id="rId5" w:type="default"/>
          <w:footerReference r:id="rId6" w:type="default"/>
          <w:pgSz w:w="11906" w:h="16839"/>
          <w:pgMar w:top="400" w:right="1432" w:bottom="1400" w:left="1590" w:header="0" w:footer="1147" w:gutter="0"/>
          <w:cols w:space="720" w:num="1"/>
        </w:sectPr>
      </w:pPr>
    </w:p>
    <w:p w14:paraId="5CD03A29">
      <w:pPr>
        <w:spacing w:line="253" w:lineRule="auto"/>
        <w:rPr>
          <w:rFonts w:ascii="Arial"/>
          <w:sz w:val="21"/>
        </w:rPr>
      </w:pPr>
    </w:p>
    <w:p w14:paraId="22C3C7BB">
      <w:pPr>
        <w:spacing w:line="254" w:lineRule="auto"/>
        <w:rPr>
          <w:rFonts w:ascii="Arial"/>
          <w:sz w:val="21"/>
        </w:rPr>
      </w:pPr>
    </w:p>
    <w:p w14:paraId="5AFA81CA">
      <w:pPr>
        <w:spacing w:line="254" w:lineRule="auto"/>
        <w:rPr>
          <w:rFonts w:ascii="Arial"/>
          <w:sz w:val="21"/>
        </w:rPr>
      </w:pPr>
    </w:p>
    <w:p w14:paraId="0618840D">
      <w:pPr>
        <w:spacing w:line="254" w:lineRule="auto"/>
        <w:rPr>
          <w:rFonts w:ascii="Arial"/>
          <w:sz w:val="21"/>
        </w:rPr>
      </w:pPr>
    </w:p>
    <w:p w14:paraId="328E27C4">
      <w:pPr>
        <w:spacing w:line="254" w:lineRule="auto"/>
        <w:rPr>
          <w:rFonts w:ascii="Arial"/>
          <w:sz w:val="21"/>
        </w:rPr>
      </w:pPr>
    </w:p>
    <w:p w14:paraId="25717C5A">
      <w:pPr>
        <w:spacing w:line="254" w:lineRule="auto"/>
        <w:rPr>
          <w:rFonts w:ascii="Arial"/>
          <w:sz w:val="21"/>
        </w:rPr>
      </w:pPr>
    </w:p>
    <w:p w14:paraId="64575DE2">
      <w:pPr>
        <w:spacing w:line="254" w:lineRule="auto"/>
        <w:rPr>
          <w:rFonts w:ascii="Arial"/>
          <w:sz w:val="21"/>
        </w:rPr>
      </w:pPr>
    </w:p>
    <w:p w14:paraId="73259B45">
      <w:pPr>
        <w:pStyle w:val="2"/>
        <w:spacing w:before="100" w:line="341" w:lineRule="auto"/>
        <w:ind w:left="10" w:firstLine="17"/>
        <w:jc w:val="both"/>
      </w:pPr>
      <w:r>
        <w:rPr>
          <w:spacing w:val="1"/>
        </w:rPr>
        <w:t>市政基础设施工程（含园林工程）的勘察、设计、施工、监理以</w:t>
      </w:r>
      <w:r>
        <w:rPr>
          <w:spacing w:val="7"/>
        </w:rPr>
        <w:t xml:space="preserve"> </w:t>
      </w:r>
      <w:r>
        <w:rPr>
          <w:spacing w:val="-6"/>
        </w:rPr>
        <w:t>及与工程建设有关的重要设备、材料采购，以及采用全过程咨询、</w:t>
      </w:r>
      <w:r>
        <w:rPr>
          <w:spacing w:val="7"/>
        </w:rPr>
        <w:t xml:space="preserve"> </w:t>
      </w:r>
      <w:r>
        <w:rPr>
          <w:spacing w:val="-6"/>
        </w:rPr>
        <w:t>工程总承包模式实施的项目，其招标活动应当采用评定分离方式，</w:t>
      </w:r>
      <w:r>
        <w:rPr>
          <w:spacing w:val="7"/>
        </w:rPr>
        <w:t xml:space="preserve"> </w:t>
      </w:r>
      <w:r>
        <w:rPr>
          <w:spacing w:val="2"/>
        </w:rPr>
        <w:t>并在招标公告（资格预审公告）、招标文件（资格预审文</w:t>
      </w:r>
      <w:r>
        <w:rPr>
          <w:spacing w:val="1"/>
        </w:rPr>
        <w:t>件）中</w:t>
      </w:r>
      <w:r>
        <w:t xml:space="preserve"> </w:t>
      </w:r>
      <w:r>
        <w:rPr>
          <w:spacing w:val="2"/>
        </w:rPr>
        <w:t>进行明确标注。交通、水利、农业等工程领域，招标活动</w:t>
      </w:r>
      <w:r>
        <w:rPr>
          <w:spacing w:val="1"/>
        </w:rPr>
        <w:t>是否采</w:t>
      </w:r>
      <w:r>
        <w:t xml:space="preserve"> </w:t>
      </w:r>
      <w:r>
        <w:rPr>
          <w:spacing w:val="2"/>
        </w:rPr>
        <w:t>用评定分离方式，由招标人自主选择。若选择评定分离方</w:t>
      </w:r>
      <w:r>
        <w:rPr>
          <w:spacing w:val="1"/>
        </w:rPr>
        <w:t>式，参</w:t>
      </w:r>
      <w:r>
        <w:t xml:space="preserve"> </w:t>
      </w:r>
      <w:r>
        <w:rPr>
          <w:spacing w:val="-2"/>
        </w:rPr>
        <w:t>照本办法执行。</w:t>
      </w:r>
    </w:p>
    <w:p w14:paraId="6FB80DF1">
      <w:pPr>
        <w:pStyle w:val="2"/>
        <w:spacing w:before="52" w:line="338" w:lineRule="auto"/>
        <w:ind w:left="18" w:right="90" w:firstLine="626"/>
        <w:jc w:val="both"/>
      </w:pPr>
      <w:r>
        <w:rPr>
          <w:spacing w:val="-3"/>
        </w:rPr>
        <w:t>市级单项合同估算价在人民币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rFonts w:ascii="Times New Roman" w:hAnsi="Times New Roman" w:eastAsia="Times New Roman" w:cs="Times New Roman"/>
          <w:spacing w:val="19"/>
          <w:w w:val="101"/>
        </w:rPr>
        <w:t xml:space="preserve"> </w:t>
      </w:r>
      <w:r>
        <w:rPr>
          <w:spacing w:val="-3"/>
        </w:rPr>
        <w:t>亿元以上、县（市、</w:t>
      </w:r>
      <w:r>
        <w:rPr>
          <w:spacing w:val="-93"/>
        </w:rPr>
        <w:t xml:space="preserve"> </w:t>
      </w:r>
      <w:r>
        <w:rPr>
          <w:spacing w:val="-3"/>
        </w:rPr>
        <w:t>区）单</w:t>
      </w:r>
      <w:r>
        <w:t xml:space="preserve"> </w:t>
      </w:r>
      <w:r>
        <w:rPr>
          <w:spacing w:val="1"/>
        </w:rPr>
        <w:t>项合同估算价在人民币</w:t>
      </w:r>
      <w:r>
        <w:rPr>
          <w:spacing w:val="-72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3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1"/>
        </w:rPr>
        <w:t>千万元以上，且工</w:t>
      </w:r>
      <w:r>
        <w:t xml:space="preserve">艺技术较为复杂的房 </w:t>
      </w:r>
      <w:r>
        <w:rPr>
          <w:spacing w:val="1"/>
        </w:rPr>
        <w:t>屋建筑和市政基础设施工程施工或工程总承包招标项目，应当优</w:t>
      </w:r>
      <w:r>
        <w:rPr>
          <w:spacing w:val="17"/>
        </w:rPr>
        <w:t xml:space="preserve"> </w:t>
      </w:r>
      <w:r>
        <w:rPr>
          <w:spacing w:val="-3"/>
        </w:rPr>
        <w:t>先采用</w:t>
      </w:r>
      <w:r>
        <w:rPr>
          <w:rFonts w:ascii="Times New Roman" w:hAnsi="Times New Roman" w:eastAsia="Times New Roman" w:cs="Times New Roman"/>
          <w:spacing w:val="-3"/>
        </w:rPr>
        <w:t>“</w:t>
      </w:r>
      <w:r>
        <w:rPr>
          <w:spacing w:val="-3"/>
        </w:rPr>
        <w:t>资格预审</w:t>
      </w:r>
      <w:r>
        <w:rPr>
          <w:rFonts w:ascii="Times New Roman" w:hAnsi="Times New Roman" w:eastAsia="Times New Roman" w:cs="Times New Roman"/>
          <w:spacing w:val="-3"/>
        </w:rPr>
        <w:t>+</w:t>
      </w:r>
      <w:r>
        <w:rPr>
          <w:spacing w:val="-3"/>
        </w:rPr>
        <w:t>评定分离</w:t>
      </w:r>
      <w:r>
        <w:rPr>
          <w:rFonts w:ascii="Times New Roman" w:hAnsi="Times New Roman" w:eastAsia="Times New Roman" w:cs="Times New Roman"/>
          <w:spacing w:val="-3"/>
        </w:rPr>
        <w:t>”</w:t>
      </w:r>
      <w:r>
        <w:rPr>
          <w:spacing w:val="-3"/>
        </w:rPr>
        <w:t>方式实施。</w:t>
      </w:r>
    </w:p>
    <w:p w14:paraId="7792F77E">
      <w:pPr>
        <w:pStyle w:val="2"/>
        <w:spacing w:before="47" w:line="334" w:lineRule="auto"/>
        <w:ind w:left="25" w:right="10" w:firstLine="629"/>
        <w:jc w:val="both"/>
      </w:pPr>
      <w:r>
        <w:rPr>
          <w:rFonts w:ascii="黑体" w:hAnsi="黑体" w:eastAsia="黑体" w:cs="黑体"/>
          <w:spacing w:val="12"/>
        </w:rPr>
        <w:t xml:space="preserve">第四条  </w:t>
      </w:r>
      <w:r>
        <w:rPr>
          <w:spacing w:val="12"/>
        </w:rPr>
        <w:t>采用评定分离方式实施的依法必须招标的房屋建</w:t>
      </w:r>
      <w:r>
        <w:rPr>
          <w:spacing w:val="14"/>
        </w:rPr>
        <w:t xml:space="preserve"> </w:t>
      </w:r>
      <w:r>
        <w:rPr>
          <w:spacing w:val="12"/>
        </w:rPr>
        <w:t xml:space="preserve">筑和市政基础设施工程项目，招标人应当对招标文件进行公平 </w:t>
      </w:r>
      <w:r>
        <w:rPr>
          <w:spacing w:val="4"/>
        </w:rPr>
        <w:t>竞争审查，评估对市场竞争的影响，防止排斥、限制市场竞争。</w:t>
      </w:r>
    </w:p>
    <w:p w14:paraId="5159FB21">
      <w:pPr>
        <w:spacing w:line="266" w:lineRule="auto"/>
        <w:rPr>
          <w:rFonts w:ascii="Arial"/>
          <w:sz w:val="21"/>
        </w:rPr>
      </w:pPr>
    </w:p>
    <w:p w14:paraId="1D9A0780">
      <w:pPr>
        <w:spacing w:line="267" w:lineRule="auto"/>
        <w:rPr>
          <w:rFonts w:ascii="Arial"/>
          <w:sz w:val="21"/>
        </w:rPr>
      </w:pPr>
    </w:p>
    <w:p w14:paraId="7AF9D188">
      <w:pPr>
        <w:spacing w:before="101" w:line="227" w:lineRule="auto"/>
        <w:ind w:left="326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第二章</w:t>
      </w:r>
      <w:r>
        <w:rPr>
          <w:rFonts w:ascii="黑体" w:hAnsi="黑体" w:eastAsia="黑体" w:cs="黑体"/>
          <w:spacing w:val="10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5"/>
          <w:sz w:val="31"/>
          <w:szCs w:val="31"/>
        </w:rPr>
        <w:t>评  标</w:t>
      </w:r>
    </w:p>
    <w:p w14:paraId="0862ACFA">
      <w:pPr>
        <w:spacing w:line="338" w:lineRule="auto"/>
        <w:rPr>
          <w:rFonts w:ascii="Arial"/>
          <w:sz w:val="21"/>
        </w:rPr>
      </w:pPr>
    </w:p>
    <w:p w14:paraId="2A64E6BE">
      <w:pPr>
        <w:spacing w:line="338" w:lineRule="auto"/>
        <w:rPr>
          <w:rFonts w:ascii="Arial"/>
          <w:sz w:val="21"/>
        </w:rPr>
      </w:pPr>
    </w:p>
    <w:p w14:paraId="4831F36D">
      <w:pPr>
        <w:pStyle w:val="2"/>
        <w:spacing w:before="101" w:line="223" w:lineRule="auto"/>
        <w:ind w:left="655"/>
      </w:pPr>
      <w:r>
        <w:rPr>
          <w:rFonts w:ascii="黑体" w:hAnsi="黑体" w:eastAsia="黑体" w:cs="黑体"/>
          <w:spacing w:val="8"/>
        </w:rPr>
        <w:t xml:space="preserve">第五条  </w:t>
      </w:r>
      <w:r>
        <w:rPr>
          <w:spacing w:val="8"/>
        </w:rPr>
        <w:t>评标委员会在评标活动中履行以下职责：</w:t>
      </w:r>
    </w:p>
    <w:p w14:paraId="5A611667">
      <w:pPr>
        <w:pStyle w:val="2"/>
        <w:spacing w:before="205" w:line="284" w:lineRule="auto"/>
        <w:ind w:left="10" w:right="102" w:firstLine="636"/>
      </w:pPr>
      <w:r>
        <w:rPr>
          <w:spacing w:val="10"/>
        </w:rPr>
        <w:t>（</w:t>
      </w:r>
      <w:r>
        <w:rPr>
          <w:spacing w:val="-71"/>
        </w:rPr>
        <w:t xml:space="preserve"> </w:t>
      </w:r>
      <w:r>
        <w:rPr>
          <w:spacing w:val="10"/>
        </w:rPr>
        <w:t>一）按照招标文件规定的标准和方法完成对所有投标文</w:t>
      </w:r>
      <w:r>
        <w:t xml:space="preserve"> </w:t>
      </w:r>
      <w:r>
        <w:rPr>
          <w:spacing w:val="6"/>
        </w:rPr>
        <w:t>件的评审。</w:t>
      </w:r>
    </w:p>
    <w:p w14:paraId="47DF968D">
      <w:pPr>
        <w:pStyle w:val="2"/>
        <w:spacing w:before="208" w:line="283" w:lineRule="auto"/>
        <w:ind w:left="12" w:right="102" w:firstLine="635"/>
      </w:pPr>
      <w:r>
        <w:rPr>
          <w:spacing w:val="10"/>
        </w:rPr>
        <w:t>（</w:t>
      </w:r>
      <w:r>
        <w:rPr>
          <w:spacing w:val="-71"/>
        </w:rPr>
        <w:t xml:space="preserve"> </w:t>
      </w:r>
      <w:r>
        <w:rPr>
          <w:spacing w:val="10"/>
        </w:rPr>
        <w:t>二）向招标人推荐招标文件规定数量的中标候选人。投</w:t>
      </w:r>
      <w:r>
        <w:t xml:space="preserve"> </w:t>
      </w:r>
      <w:r>
        <w:rPr>
          <w:spacing w:val="5"/>
        </w:rPr>
        <w:t>标人数量少于或等于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 xml:space="preserve">10 </w:t>
      </w:r>
      <w:r>
        <w:rPr>
          <w:spacing w:val="5"/>
        </w:rPr>
        <w:t>家时，评标委员会推荐的中标候选人数</w:t>
      </w:r>
    </w:p>
    <w:p w14:paraId="3F465AEB">
      <w:pPr>
        <w:spacing w:line="283" w:lineRule="auto"/>
        <w:sectPr>
          <w:footerReference r:id="rId7" w:type="default"/>
          <w:pgSz w:w="11906" w:h="16839"/>
          <w:pgMar w:top="400" w:right="1486" w:bottom="1400" w:left="1584" w:header="0" w:footer="1147" w:gutter="0"/>
          <w:cols w:space="720" w:num="1"/>
        </w:sectPr>
      </w:pPr>
    </w:p>
    <w:p w14:paraId="73C58988">
      <w:pPr>
        <w:spacing w:line="254" w:lineRule="auto"/>
        <w:rPr>
          <w:rFonts w:ascii="Arial"/>
          <w:sz w:val="21"/>
        </w:rPr>
      </w:pPr>
    </w:p>
    <w:p w14:paraId="1B4D64CC">
      <w:pPr>
        <w:spacing w:line="254" w:lineRule="auto"/>
        <w:rPr>
          <w:rFonts w:ascii="Arial"/>
          <w:sz w:val="21"/>
        </w:rPr>
      </w:pPr>
    </w:p>
    <w:p w14:paraId="1955C0A5">
      <w:pPr>
        <w:spacing w:line="254" w:lineRule="auto"/>
        <w:rPr>
          <w:rFonts w:ascii="Arial"/>
          <w:sz w:val="21"/>
        </w:rPr>
      </w:pPr>
    </w:p>
    <w:p w14:paraId="590D1D5C">
      <w:pPr>
        <w:spacing w:line="254" w:lineRule="auto"/>
        <w:rPr>
          <w:rFonts w:ascii="Arial"/>
          <w:sz w:val="21"/>
        </w:rPr>
      </w:pPr>
    </w:p>
    <w:p w14:paraId="5931E029">
      <w:pPr>
        <w:spacing w:line="254" w:lineRule="auto"/>
        <w:rPr>
          <w:rFonts w:ascii="Arial"/>
          <w:sz w:val="21"/>
        </w:rPr>
      </w:pPr>
    </w:p>
    <w:p w14:paraId="780253ED">
      <w:pPr>
        <w:spacing w:line="254" w:lineRule="auto"/>
        <w:rPr>
          <w:rFonts w:ascii="Arial"/>
          <w:sz w:val="21"/>
        </w:rPr>
      </w:pPr>
    </w:p>
    <w:p w14:paraId="09E523BC">
      <w:pPr>
        <w:spacing w:line="254" w:lineRule="auto"/>
        <w:rPr>
          <w:rFonts w:ascii="Arial"/>
          <w:sz w:val="21"/>
        </w:rPr>
      </w:pPr>
    </w:p>
    <w:p w14:paraId="0D01604C">
      <w:pPr>
        <w:pStyle w:val="2"/>
        <w:spacing w:before="101" w:line="331" w:lineRule="auto"/>
        <w:ind w:left="14" w:right="81"/>
      </w:pPr>
      <w:r>
        <w:rPr>
          <w:spacing w:val="3"/>
        </w:rPr>
        <w:t>量不超过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3</w:t>
      </w:r>
      <w:r>
        <w:rPr>
          <w:rFonts w:ascii="Times New Roman" w:hAnsi="Times New Roman" w:eastAsia="Times New Roman" w:cs="Times New Roman"/>
          <w:spacing w:val="23"/>
          <w:w w:val="101"/>
        </w:rPr>
        <w:t xml:space="preserve"> </w:t>
      </w:r>
      <w:r>
        <w:rPr>
          <w:spacing w:val="3"/>
        </w:rPr>
        <w:t>家，投标人数量多于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10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3"/>
        </w:rPr>
        <w:t>家时，推荐的中标候</w:t>
      </w:r>
      <w:r>
        <w:rPr>
          <w:spacing w:val="2"/>
        </w:rPr>
        <w:t>选人数</w:t>
      </w:r>
      <w:r>
        <w:t xml:space="preserve"> 量不少于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</w:rPr>
        <w:t>3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t>家不超过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</w:rPr>
        <w:t>5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t>家。</w:t>
      </w:r>
    </w:p>
    <w:p w14:paraId="190AB292">
      <w:pPr>
        <w:pStyle w:val="2"/>
        <w:spacing w:before="47" w:line="304" w:lineRule="auto"/>
        <w:ind w:left="11" w:right="83" w:firstLine="629"/>
      </w:pPr>
      <w:r>
        <w:rPr>
          <w:spacing w:val="10"/>
        </w:rPr>
        <w:t>（</w:t>
      </w:r>
      <w:r>
        <w:rPr>
          <w:spacing w:val="-71"/>
        </w:rPr>
        <w:t xml:space="preserve"> </w:t>
      </w:r>
      <w:r>
        <w:rPr>
          <w:spacing w:val="10"/>
        </w:rPr>
        <w:t>三）评标委员会推荐的中标候选人应当不明确排序，并</w:t>
      </w:r>
      <w:r>
        <w:t xml:space="preserve"> </w:t>
      </w:r>
      <w:r>
        <w:rPr>
          <w:spacing w:val="13"/>
        </w:rPr>
        <w:t>在评标报告评审结论中对每个中标候选人的</w:t>
      </w:r>
      <w:r>
        <w:rPr>
          <w:spacing w:val="12"/>
        </w:rPr>
        <w:t>优势、不足、风险</w:t>
      </w:r>
      <w:r>
        <w:t xml:space="preserve"> </w:t>
      </w:r>
      <w:r>
        <w:rPr>
          <w:spacing w:val="7"/>
        </w:rPr>
        <w:t>等情况进行详细说明。</w:t>
      </w:r>
    </w:p>
    <w:p w14:paraId="72988753">
      <w:pPr>
        <w:pStyle w:val="2"/>
        <w:spacing w:before="211" w:line="283" w:lineRule="auto"/>
        <w:ind w:left="4" w:right="83" w:firstLine="635"/>
      </w:pPr>
      <w:r>
        <w:rPr>
          <w:spacing w:val="9"/>
        </w:rPr>
        <w:t>（</w:t>
      </w:r>
      <w:r>
        <w:rPr>
          <w:spacing w:val="-46"/>
        </w:rPr>
        <w:t xml:space="preserve"> </w:t>
      </w:r>
      <w:r>
        <w:rPr>
          <w:spacing w:val="9"/>
        </w:rPr>
        <w:t>四）评标委员会成员对评审结论存在分歧的，应当在评</w:t>
      </w:r>
      <w:r>
        <w:t xml:space="preserve"> </w:t>
      </w:r>
      <w:r>
        <w:rPr>
          <w:spacing w:val="8"/>
        </w:rPr>
        <w:t>标报告中客观记录评标中的分歧意见。</w:t>
      </w:r>
    </w:p>
    <w:p w14:paraId="03E84676">
      <w:pPr>
        <w:pStyle w:val="2"/>
        <w:spacing w:before="206" w:line="284" w:lineRule="auto"/>
        <w:ind w:left="45" w:right="160" w:firstLine="594"/>
      </w:pPr>
      <w:r>
        <w:rPr>
          <w:spacing w:val="7"/>
        </w:rPr>
        <w:t>（</w:t>
      </w:r>
      <w:r>
        <w:rPr>
          <w:spacing w:val="-73"/>
        </w:rPr>
        <w:t xml:space="preserve"> </w:t>
      </w:r>
      <w:r>
        <w:rPr>
          <w:spacing w:val="7"/>
        </w:rPr>
        <w:t>五）评标委员会负责人可应招标人邀请列席定标会议，</w:t>
      </w:r>
      <w:r>
        <w:t xml:space="preserve"> </w:t>
      </w:r>
      <w:r>
        <w:rPr>
          <w:spacing w:val="7"/>
        </w:rPr>
        <w:t>向定标委员会介绍评标和中标候选人推荐情况。</w:t>
      </w:r>
    </w:p>
    <w:p w14:paraId="133EB199">
      <w:pPr>
        <w:pStyle w:val="2"/>
        <w:spacing w:before="206" w:line="335" w:lineRule="auto"/>
        <w:ind w:left="4" w:right="83" w:firstLine="643"/>
        <w:jc w:val="both"/>
      </w:pPr>
      <w:r>
        <w:rPr>
          <w:rFonts w:ascii="黑体" w:hAnsi="黑体" w:eastAsia="黑体" w:cs="黑体"/>
          <w:spacing w:val="6"/>
        </w:rPr>
        <w:t xml:space="preserve">第六条  </w:t>
      </w:r>
      <w:r>
        <w:rPr>
          <w:spacing w:val="6"/>
        </w:rPr>
        <w:t>招标人应当自收到评标报告之日起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 xml:space="preserve">3  </w:t>
      </w:r>
      <w:r>
        <w:rPr>
          <w:spacing w:val="6"/>
        </w:rPr>
        <w:t>日</w:t>
      </w:r>
      <w:r>
        <w:rPr>
          <w:spacing w:val="-93"/>
        </w:rPr>
        <w:t xml:space="preserve"> </w:t>
      </w:r>
      <w:r>
        <w:rPr>
          <w:spacing w:val="6"/>
        </w:rPr>
        <w:t>内公示评</w:t>
      </w:r>
      <w:r>
        <w:t xml:space="preserve"> </w:t>
      </w:r>
      <w:r>
        <w:rPr>
          <w:spacing w:val="13"/>
        </w:rPr>
        <w:t>标结果，评标结果公示应明确不排序的中标候选人，公示期不</w:t>
      </w:r>
      <w:r>
        <w:t xml:space="preserve"> </w:t>
      </w:r>
      <w:r>
        <w:rPr>
          <w:spacing w:val="-7"/>
        </w:rPr>
        <w:t>得少于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 xml:space="preserve">3  </w:t>
      </w:r>
      <w:r>
        <w:rPr>
          <w:spacing w:val="-7"/>
        </w:rPr>
        <w:t>日。</w:t>
      </w:r>
    </w:p>
    <w:p w14:paraId="428C2C08">
      <w:pPr>
        <w:pStyle w:val="2"/>
        <w:spacing w:before="47" w:line="341" w:lineRule="auto"/>
        <w:ind w:left="4" w:firstLine="647"/>
        <w:jc w:val="both"/>
      </w:pPr>
      <w:r>
        <w:rPr>
          <w:spacing w:val="13"/>
        </w:rPr>
        <w:t>投标人或者其他利害关系人对评标结果有异议的，</w:t>
      </w:r>
      <w:r>
        <w:rPr>
          <w:spacing w:val="12"/>
        </w:rPr>
        <w:t>应在评</w:t>
      </w:r>
      <w:r>
        <w:t xml:space="preserve"> </w:t>
      </w:r>
      <w:r>
        <w:rPr>
          <w:spacing w:val="13"/>
        </w:rPr>
        <w:t>标结果公示期内以书面形式向招标人提出，招标人将自收到异</w:t>
      </w:r>
      <w:r>
        <w:t xml:space="preserve"> </w:t>
      </w:r>
      <w:r>
        <w:rPr>
          <w:spacing w:val="7"/>
        </w:rPr>
        <w:t>议之日起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3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spacing w:val="7"/>
        </w:rPr>
        <w:t>日</w:t>
      </w:r>
      <w:r>
        <w:rPr>
          <w:spacing w:val="-92"/>
        </w:rPr>
        <w:t xml:space="preserve"> </w:t>
      </w:r>
      <w:r>
        <w:rPr>
          <w:spacing w:val="7"/>
        </w:rPr>
        <w:t>内作出书面答复。作出答复前，将暂停招标</w:t>
      </w:r>
      <w:r>
        <w:rPr>
          <w:spacing w:val="6"/>
        </w:rPr>
        <w:t>投标</w:t>
      </w:r>
      <w:r>
        <w:t xml:space="preserve"> </w:t>
      </w:r>
      <w:r>
        <w:rPr>
          <w:spacing w:val="4"/>
        </w:rPr>
        <w:t>活动。投标人或者其他利害关系人对招标人答复仍持有异议的，</w:t>
      </w:r>
      <w:r>
        <w:rPr>
          <w:spacing w:val="11"/>
        </w:rPr>
        <w:t xml:space="preserve"> </w:t>
      </w:r>
      <w:r>
        <w:rPr>
          <w:spacing w:val="3"/>
        </w:rPr>
        <w:t>应当在收到答复之日起</w:t>
      </w:r>
      <w:r>
        <w:rPr>
          <w:spacing w:val="-35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10</w:t>
      </w:r>
      <w:r>
        <w:rPr>
          <w:rFonts w:ascii="Times New Roman" w:hAnsi="Times New Roman" w:eastAsia="Times New Roman" w:cs="Times New Roman"/>
          <w:spacing w:val="75"/>
        </w:rPr>
        <w:t xml:space="preserve"> </w:t>
      </w:r>
      <w:r>
        <w:rPr>
          <w:spacing w:val="3"/>
        </w:rPr>
        <w:t>日内持招标人的答复</w:t>
      </w:r>
      <w:r>
        <w:rPr>
          <w:spacing w:val="2"/>
        </w:rPr>
        <w:t>及投诉书，向行</w:t>
      </w:r>
      <w:r>
        <w:t xml:space="preserve"> </w:t>
      </w:r>
      <w:r>
        <w:rPr>
          <w:spacing w:val="8"/>
        </w:rPr>
        <w:t>业主管部门或发改部门提出投诉。</w:t>
      </w:r>
    </w:p>
    <w:p w14:paraId="2D020DDB">
      <w:pPr>
        <w:pStyle w:val="2"/>
        <w:spacing w:before="48" w:line="337" w:lineRule="auto"/>
        <w:ind w:firstLine="648"/>
        <w:jc w:val="both"/>
      </w:pPr>
      <w:r>
        <w:rPr>
          <w:rFonts w:ascii="黑体" w:hAnsi="黑体" w:eastAsia="黑体" w:cs="黑体"/>
          <w:spacing w:val="10"/>
        </w:rPr>
        <w:t xml:space="preserve">第七条  </w:t>
      </w:r>
      <w:r>
        <w:rPr>
          <w:spacing w:val="10"/>
        </w:rPr>
        <w:t>在评标结果公示期间，</w:t>
      </w:r>
      <w:r>
        <w:rPr>
          <w:spacing w:val="-88"/>
        </w:rPr>
        <w:t xml:space="preserve"> </w:t>
      </w:r>
      <w:r>
        <w:rPr>
          <w:spacing w:val="10"/>
        </w:rPr>
        <w:t>中标候选人放弃资格或被</w:t>
      </w:r>
      <w:r>
        <w:t xml:space="preserve"> </w:t>
      </w:r>
      <w:r>
        <w:rPr>
          <w:spacing w:val="13"/>
        </w:rPr>
        <w:t>查实存在违法违规行为被取消中标候选人资格的，若剩余中标</w:t>
      </w:r>
      <w:r>
        <w:rPr>
          <w:spacing w:val="3"/>
        </w:rPr>
        <w:t xml:space="preserve"> </w:t>
      </w:r>
      <w:r>
        <w:rPr>
          <w:spacing w:val="2"/>
        </w:rPr>
        <w:t>候选人大于或等于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3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2"/>
        </w:rPr>
        <w:t>家时，招标人应继续定标；若</w:t>
      </w:r>
      <w:r>
        <w:rPr>
          <w:spacing w:val="1"/>
        </w:rPr>
        <w:t>小于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3</w:t>
      </w:r>
      <w:r>
        <w:rPr>
          <w:rFonts w:ascii="Times New Roman" w:hAnsi="Times New Roman" w:eastAsia="Times New Roman" w:cs="Times New Roman"/>
          <w:spacing w:val="23"/>
        </w:rPr>
        <w:t xml:space="preserve"> </w:t>
      </w:r>
      <w:r>
        <w:rPr>
          <w:spacing w:val="1"/>
        </w:rPr>
        <w:t>家时，</w:t>
      </w:r>
      <w:r>
        <w:t xml:space="preserve"> </w:t>
      </w:r>
      <w:r>
        <w:rPr>
          <w:spacing w:val="13"/>
        </w:rPr>
        <w:t>招标人可以继续定标，也可以重新招标。相关要求招标人应在</w:t>
      </w:r>
    </w:p>
    <w:p w14:paraId="156C8A26">
      <w:pPr>
        <w:spacing w:line="337" w:lineRule="auto"/>
        <w:sectPr>
          <w:footerReference r:id="rId8" w:type="default"/>
          <w:pgSz w:w="11906" w:h="16839"/>
          <w:pgMar w:top="400" w:right="1504" w:bottom="1397" w:left="1591" w:header="0" w:footer="1147" w:gutter="0"/>
          <w:cols w:space="720" w:num="1"/>
        </w:sectPr>
      </w:pPr>
    </w:p>
    <w:p w14:paraId="7BBDA860">
      <w:pPr>
        <w:spacing w:line="254" w:lineRule="auto"/>
        <w:rPr>
          <w:rFonts w:ascii="Arial"/>
          <w:sz w:val="21"/>
        </w:rPr>
      </w:pPr>
    </w:p>
    <w:p w14:paraId="2F259649">
      <w:pPr>
        <w:spacing w:line="254" w:lineRule="auto"/>
        <w:rPr>
          <w:rFonts w:ascii="Arial"/>
          <w:sz w:val="21"/>
        </w:rPr>
      </w:pPr>
    </w:p>
    <w:p w14:paraId="7D808B08">
      <w:pPr>
        <w:spacing w:line="254" w:lineRule="auto"/>
        <w:rPr>
          <w:rFonts w:ascii="Arial"/>
          <w:sz w:val="21"/>
        </w:rPr>
      </w:pPr>
    </w:p>
    <w:p w14:paraId="17ABDCA7">
      <w:pPr>
        <w:spacing w:line="254" w:lineRule="auto"/>
        <w:rPr>
          <w:rFonts w:ascii="Arial"/>
          <w:sz w:val="21"/>
        </w:rPr>
      </w:pPr>
    </w:p>
    <w:p w14:paraId="145FCF1E">
      <w:pPr>
        <w:spacing w:line="254" w:lineRule="auto"/>
        <w:rPr>
          <w:rFonts w:ascii="Arial"/>
          <w:sz w:val="21"/>
        </w:rPr>
      </w:pPr>
    </w:p>
    <w:p w14:paraId="312690B0">
      <w:pPr>
        <w:spacing w:line="254" w:lineRule="auto"/>
        <w:rPr>
          <w:rFonts w:ascii="Arial"/>
          <w:sz w:val="21"/>
        </w:rPr>
      </w:pPr>
    </w:p>
    <w:p w14:paraId="4BDB2889">
      <w:pPr>
        <w:spacing w:line="254" w:lineRule="auto"/>
        <w:rPr>
          <w:rFonts w:ascii="Arial"/>
          <w:sz w:val="21"/>
        </w:rPr>
      </w:pPr>
    </w:p>
    <w:p w14:paraId="1DB6CE21">
      <w:pPr>
        <w:pStyle w:val="2"/>
        <w:spacing w:before="100" w:line="222" w:lineRule="auto"/>
        <w:ind w:left="19"/>
      </w:pPr>
      <w:r>
        <w:rPr>
          <w:spacing w:val="6"/>
        </w:rPr>
        <w:t>招标文件中载明。</w:t>
      </w:r>
    </w:p>
    <w:p w14:paraId="5D9BE2A1">
      <w:pPr>
        <w:spacing w:line="340" w:lineRule="auto"/>
        <w:rPr>
          <w:rFonts w:ascii="Arial"/>
          <w:sz w:val="21"/>
        </w:rPr>
      </w:pPr>
    </w:p>
    <w:p w14:paraId="696D9CDA">
      <w:pPr>
        <w:spacing w:line="341" w:lineRule="auto"/>
        <w:rPr>
          <w:rFonts w:ascii="Arial"/>
          <w:sz w:val="21"/>
        </w:rPr>
      </w:pPr>
    </w:p>
    <w:p w14:paraId="1D3D6939">
      <w:pPr>
        <w:spacing w:before="101" w:line="227" w:lineRule="auto"/>
        <w:ind w:left="326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第三章  定</w:t>
      </w:r>
      <w:r>
        <w:rPr>
          <w:rFonts w:ascii="黑体" w:hAnsi="黑体" w:eastAsia="黑体" w:cs="黑体"/>
          <w:spacing w:val="10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5"/>
          <w:sz w:val="31"/>
          <w:szCs w:val="31"/>
        </w:rPr>
        <w:t>标</w:t>
      </w:r>
    </w:p>
    <w:p w14:paraId="3E66CE44">
      <w:pPr>
        <w:spacing w:line="336" w:lineRule="auto"/>
        <w:rPr>
          <w:rFonts w:ascii="Arial"/>
          <w:sz w:val="21"/>
        </w:rPr>
      </w:pPr>
    </w:p>
    <w:p w14:paraId="2615B504">
      <w:pPr>
        <w:spacing w:line="336" w:lineRule="auto"/>
        <w:rPr>
          <w:rFonts w:ascii="Arial"/>
          <w:sz w:val="21"/>
        </w:rPr>
      </w:pPr>
    </w:p>
    <w:p w14:paraId="557D6DDB">
      <w:pPr>
        <w:pStyle w:val="2"/>
        <w:spacing w:before="101" w:line="329" w:lineRule="auto"/>
        <w:ind w:left="30" w:right="2" w:firstLine="624"/>
      </w:pPr>
      <w:r>
        <w:rPr>
          <w:rFonts w:ascii="黑体" w:hAnsi="黑体" w:eastAsia="黑体" w:cs="黑体"/>
          <w:spacing w:val="12"/>
        </w:rPr>
        <w:t xml:space="preserve">第八条  </w:t>
      </w:r>
      <w:r>
        <w:rPr>
          <w:spacing w:val="12"/>
        </w:rPr>
        <w:t>招标人的法定代表人或主要负责人是招标工作的</w:t>
      </w:r>
      <w:r>
        <w:rPr>
          <w:spacing w:val="14"/>
        </w:rPr>
        <w:t xml:space="preserve"> </w:t>
      </w:r>
      <w:r>
        <w:rPr>
          <w:spacing w:val="8"/>
        </w:rPr>
        <w:t>第一责任人，对定标过程和结果承担第一责任人责任。</w:t>
      </w:r>
    </w:p>
    <w:p w14:paraId="43C8B08B">
      <w:pPr>
        <w:pStyle w:val="2"/>
        <w:spacing w:before="56" w:line="337" w:lineRule="auto"/>
        <w:ind w:left="12" w:firstLine="643"/>
      </w:pPr>
      <w:r>
        <w:rPr>
          <w:rFonts w:ascii="黑体" w:hAnsi="黑体" w:eastAsia="黑体" w:cs="黑体"/>
          <w:spacing w:val="12"/>
        </w:rPr>
        <w:t xml:space="preserve">第九条  </w:t>
      </w:r>
      <w:r>
        <w:rPr>
          <w:spacing w:val="12"/>
        </w:rPr>
        <w:t>招标人应当建立健全内部控制程序、决策约束和</w:t>
      </w:r>
      <w:r>
        <w:rPr>
          <w:spacing w:val="14"/>
        </w:rPr>
        <w:t xml:space="preserve"> </w:t>
      </w:r>
      <w:r>
        <w:rPr>
          <w:spacing w:val="13"/>
        </w:rPr>
        <w:t>廉政风险防控机制，将资格预审文件、招标文件、评标办法、</w:t>
      </w:r>
      <w:r>
        <w:rPr>
          <w:spacing w:val="1"/>
        </w:rPr>
        <w:t xml:space="preserve"> </w:t>
      </w:r>
      <w:r>
        <w:rPr>
          <w:spacing w:val="14"/>
        </w:rPr>
        <w:t>定标办法、定标委员会的组建等纳入</w:t>
      </w:r>
      <w:r>
        <w:rPr>
          <w:rFonts w:ascii="Times New Roman" w:hAnsi="Times New Roman" w:eastAsia="Times New Roman" w:cs="Times New Roman"/>
          <w:spacing w:val="14"/>
        </w:rPr>
        <w:t>“</w:t>
      </w:r>
      <w:r>
        <w:rPr>
          <w:spacing w:val="14"/>
        </w:rPr>
        <w:t>三重一大</w:t>
      </w:r>
      <w:r>
        <w:rPr>
          <w:rFonts w:ascii="Times New Roman" w:hAnsi="Times New Roman" w:eastAsia="Times New Roman" w:cs="Times New Roman"/>
          <w:spacing w:val="14"/>
        </w:rPr>
        <w:t>”</w:t>
      </w:r>
      <w:r>
        <w:rPr>
          <w:spacing w:val="14"/>
        </w:rPr>
        <w:t>决</w:t>
      </w:r>
      <w:r>
        <w:rPr>
          <w:spacing w:val="13"/>
        </w:rPr>
        <w:t>策机制和廉</w:t>
      </w:r>
      <w:r>
        <w:t xml:space="preserve"> </w:t>
      </w:r>
      <w:r>
        <w:rPr>
          <w:spacing w:val="6"/>
        </w:rPr>
        <w:t>洁评估范围。</w:t>
      </w:r>
    </w:p>
    <w:p w14:paraId="1DB24BE8">
      <w:pPr>
        <w:pStyle w:val="2"/>
        <w:spacing w:before="59" w:line="334" w:lineRule="auto"/>
        <w:ind w:left="10" w:firstLine="644"/>
        <w:jc w:val="both"/>
      </w:pPr>
      <w:r>
        <w:rPr>
          <w:rFonts w:ascii="黑体" w:hAnsi="黑体" w:eastAsia="黑体" w:cs="黑体"/>
          <w:spacing w:val="11"/>
        </w:rPr>
        <w:t xml:space="preserve">第十条  </w:t>
      </w:r>
      <w:r>
        <w:rPr>
          <w:spacing w:val="11"/>
        </w:rPr>
        <w:t>招标人应组建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11"/>
        </w:rPr>
        <w:t xml:space="preserve">5 </w:t>
      </w:r>
      <w:r>
        <w:rPr>
          <w:spacing w:val="11"/>
        </w:rPr>
        <w:t>人以上单数的定标委员会，代表</w:t>
      </w:r>
      <w:r>
        <w:t xml:space="preserve"> </w:t>
      </w:r>
      <w:r>
        <w:rPr>
          <w:spacing w:val="13"/>
        </w:rPr>
        <w:t>招标人行使定标权，其职责是根据评标委员会的评标报告，按</w:t>
      </w:r>
      <w:r>
        <w:t xml:space="preserve"> </w:t>
      </w:r>
      <w:r>
        <w:rPr>
          <w:spacing w:val="13"/>
        </w:rPr>
        <w:t>照招标文件规定的定标程序和规则，结合招标人组织的清标和</w:t>
      </w:r>
      <w:r>
        <w:t xml:space="preserve"> </w:t>
      </w:r>
      <w:r>
        <w:rPr>
          <w:spacing w:val="6"/>
        </w:rPr>
        <w:t>考察情况</w:t>
      </w:r>
      <w:r>
        <w:rPr>
          <w:rFonts w:ascii="Times New Roman" w:hAnsi="Times New Roman" w:eastAsia="Times New Roman" w:cs="Times New Roman"/>
          <w:spacing w:val="6"/>
        </w:rPr>
        <w:t>(</w:t>
      </w:r>
      <w:r>
        <w:rPr>
          <w:spacing w:val="6"/>
        </w:rPr>
        <w:t>如有</w:t>
      </w:r>
      <w:r>
        <w:rPr>
          <w:rFonts w:ascii="Times New Roman" w:hAnsi="Times New Roman" w:eastAsia="Times New Roman" w:cs="Times New Roman"/>
          <w:spacing w:val="6"/>
        </w:rPr>
        <w:t>)</w:t>
      </w:r>
      <w:r>
        <w:rPr>
          <w:rFonts w:ascii="Times New Roman" w:hAnsi="Times New Roman" w:eastAsia="Times New Roman" w:cs="Times New Roman"/>
          <w:spacing w:val="-38"/>
        </w:rPr>
        <w:t xml:space="preserve"> </w:t>
      </w:r>
      <w:r>
        <w:rPr>
          <w:spacing w:val="6"/>
        </w:rPr>
        <w:t>、</w:t>
      </w:r>
      <w:r>
        <w:rPr>
          <w:spacing w:val="-89"/>
        </w:rPr>
        <w:t xml:space="preserve"> </w:t>
      </w:r>
      <w:r>
        <w:rPr>
          <w:spacing w:val="6"/>
        </w:rPr>
        <w:t>中标候选人答辩情况（如</w:t>
      </w:r>
      <w:r>
        <w:rPr>
          <w:spacing w:val="5"/>
        </w:rPr>
        <w:t>有</w:t>
      </w:r>
      <w:r>
        <w:rPr>
          <w:spacing w:val="-57"/>
        </w:rPr>
        <w:t>），</w:t>
      </w:r>
      <w:r>
        <w:rPr>
          <w:spacing w:val="5"/>
        </w:rPr>
        <w:t>从评标委员会</w:t>
      </w:r>
      <w:r>
        <w:t xml:space="preserve"> </w:t>
      </w:r>
      <w:r>
        <w:rPr>
          <w:spacing w:val="8"/>
        </w:rPr>
        <w:t>推荐的中标候选人中择优确定中标人。</w:t>
      </w:r>
    </w:p>
    <w:p w14:paraId="754C9B86">
      <w:pPr>
        <w:pStyle w:val="2"/>
        <w:spacing w:before="94" w:line="336" w:lineRule="auto"/>
        <w:ind w:left="12" w:right="2" w:firstLine="647"/>
        <w:jc w:val="both"/>
      </w:pPr>
      <w:r>
        <w:rPr>
          <w:spacing w:val="13"/>
        </w:rPr>
        <w:t>定标委员会应当推荐定标委员会负责人，招标人的</w:t>
      </w:r>
      <w:r>
        <w:rPr>
          <w:spacing w:val="12"/>
        </w:rPr>
        <w:t>法定代</w:t>
      </w:r>
      <w:r>
        <w:t xml:space="preserve"> </w:t>
      </w:r>
      <w:r>
        <w:rPr>
          <w:spacing w:val="13"/>
        </w:rPr>
        <w:t>表人或者主要负责人参加定标委员会的，应由其直接担任定标</w:t>
      </w:r>
      <w:r>
        <w:t xml:space="preserve"> </w:t>
      </w:r>
      <w:r>
        <w:rPr>
          <w:spacing w:val="7"/>
        </w:rPr>
        <w:t>委员会负责人。</w:t>
      </w:r>
    </w:p>
    <w:p w14:paraId="1DC2B489">
      <w:pPr>
        <w:pStyle w:val="2"/>
        <w:spacing w:before="46" w:line="338" w:lineRule="auto"/>
        <w:ind w:left="23" w:right="2" w:firstLine="639"/>
        <w:jc w:val="both"/>
      </w:pPr>
      <w:r>
        <w:rPr>
          <w:spacing w:val="13"/>
        </w:rPr>
        <w:t>有条件的招标人，可以组建本单位或本系统</w:t>
      </w:r>
      <w:r>
        <w:rPr>
          <w:spacing w:val="12"/>
        </w:rPr>
        <w:t>定标委员会人</w:t>
      </w:r>
      <w:r>
        <w:t xml:space="preserve"> </w:t>
      </w:r>
      <w:r>
        <w:rPr>
          <w:spacing w:val="12"/>
        </w:rPr>
        <w:t>员库，并以随机方式确定定标委员会成员。本单位或本系统专</w:t>
      </w:r>
      <w:r>
        <w:rPr>
          <w:spacing w:val="14"/>
        </w:rPr>
        <w:t xml:space="preserve"> </w:t>
      </w:r>
      <w:r>
        <w:rPr>
          <w:spacing w:val="12"/>
        </w:rPr>
        <w:t>业人员不足的，可邀请第三方专业人员参与，但邀请专业人员</w:t>
      </w:r>
      <w:r>
        <w:rPr>
          <w:spacing w:val="14"/>
        </w:rPr>
        <w:t xml:space="preserve"> </w:t>
      </w:r>
      <w:r>
        <w:rPr>
          <w:spacing w:val="8"/>
        </w:rPr>
        <w:t>数量不得超过定标委员会成员总数的三分之一。</w:t>
      </w:r>
    </w:p>
    <w:p w14:paraId="7EBC20AD">
      <w:pPr>
        <w:spacing w:line="338" w:lineRule="auto"/>
        <w:sectPr>
          <w:footerReference r:id="rId9" w:type="default"/>
          <w:pgSz w:w="11906" w:h="16839"/>
          <w:pgMar w:top="400" w:right="1586" w:bottom="1400" w:left="1584" w:header="0" w:footer="1147" w:gutter="0"/>
          <w:cols w:space="720" w:num="1"/>
        </w:sectPr>
      </w:pPr>
    </w:p>
    <w:p w14:paraId="32C9E241">
      <w:pPr>
        <w:spacing w:line="253" w:lineRule="auto"/>
        <w:rPr>
          <w:rFonts w:ascii="Arial"/>
          <w:sz w:val="21"/>
        </w:rPr>
      </w:pPr>
    </w:p>
    <w:p w14:paraId="2272598F">
      <w:pPr>
        <w:spacing w:line="254" w:lineRule="auto"/>
        <w:rPr>
          <w:rFonts w:ascii="Arial"/>
          <w:sz w:val="21"/>
        </w:rPr>
      </w:pPr>
    </w:p>
    <w:p w14:paraId="38B378EA">
      <w:pPr>
        <w:spacing w:line="254" w:lineRule="auto"/>
        <w:rPr>
          <w:rFonts w:ascii="Arial"/>
          <w:sz w:val="21"/>
        </w:rPr>
      </w:pPr>
    </w:p>
    <w:p w14:paraId="61CFA9C1">
      <w:pPr>
        <w:spacing w:line="254" w:lineRule="auto"/>
        <w:rPr>
          <w:rFonts w:ascii="Arial"/>
          <w:sz w:val="21"/>
        </w:rPr>
      </w:pPr>
    </w:p>
    <w:p w14:paraId="234C7971">
      <w:pPr>
        <w:spacing w:line="254" w:lineRule="auto"/>
        <w:rPr>
          <w:rFonts w:ascii="Arial"/>
          <w:sz w:val="21"/>
        </w:rPr>
      </w:pPr>
    </w:p>
    <w:p w14:paraId="5C72C441">
      <w:pPr>
        <w:spacing w:line="254" w:lineRule="auto"/>
        <w:rPr>
          <w:rFonts w:ascii="Arial"/>
          <w:sz w:val="21"/>
        </w:rPr>
      </w:pPr>
    </w:p>
    <w:p w14:paraId="76402BEB">
      <w:pPr>
        <w:spacing w:line="254" w:lineRule="auto"/>
        <w:rPr>
          <w:rFonts w:ascii="Arial"/>
          <w:sz w:val="21"/>
        </w:rPr>
      </w:pPr>
    </w:p>
    <w:p w14:paraId="665C4032">
      <w:pPr>
        <w:pStyle w:val="2"/>
        <w:spacing w:before="101" w:line="331" w:lineRule="auto"/>
        <w:ind w:left="19" w:right="72" w:firstLine="663"/>
      </w:pPr>
      <w:r>
        <w:rPr>
          <w:spacing w:val="12"/>
        </w:rPr>
        <w:t>同一标段评标委员会成员（含招标人代表）</w:t>
      </w:r>
      <w:r>
        <w:rPr>
          <w:spacing w:val="11"/>
        </w:rPr>
        <w:t>原则上不得作</w:t>
      </w:r>
      <w:r>
        <w:t xml:space="preserve"> </w:t>
      </w:r>
      <w:r>
        <w:rPr>
          <w:spacing w:val="7"/>
        </w:rPr>
        <w:t>为该标段定标委员会成员参与定标。</w:t>
      </w:r>
    </w:p>
    <w:p w14:paraId="5D49D4E8">
      <w:pPr>
        <w:pStyle w:val="2"/>
        <w:spacing w:before="48" w:line="327" w:lineRule="auto"/>
        <w:ind w:left="17" w:right="149" w:firstLine="633"/>
      </w:pPr>
      <w:r>
        <w:rPr>
          <w:rFonts w:ascii="黑体" w:hAnsi="黑体" w:eastAsia="黑体" w:cs="黑体"/>
          <w:spacing w:val="9"/>
        </w:rPr>
        <w:t xml:space="preserve">第十一条  </w:t>
      </w:r>
      <w:r>
        <w:rPr>
          <w:spacing w:val="9"/>
        </w:rPr>
        <w:t>定标委员会成员与中标候选人有利害关系的，</w:t>
      </w:r>
      <w:r>
        <w:rPr>
          <w:spacing w:val="15"/>
        </w:rPr>
        <w:t xml:space="preserve"> </w:t>
      </w:r>
      <w:r>
        <w:rPr>
          <w:spacing w:val="6"/>
        </w:rPr>
        <w:t>应当主动回避。</w:t>
      </w:r>
      <w:r>
        <w:rPr>
          <w:spacing w:val="-81"/>
        </w:rPr>
        <w:t xml:space="preserve"> </w:t>
      </w:r>
      <w:r>
        <w:rPr>
          <w:spacing w:val="6"/>
        </w:rPr>
        <w:t>回避的具体情形应当包括但不限于以下内容：</w:t>
      </w:r>
    </w:p>
    <w:p w14:paraId="24BDC71B">
      <w:pPr>
        <w:pStyle w:val="2"/>
        <w:spacing w:before="61" w:line="222" w:lineRule="auto"/>
        <w:jc w:val="right"/>
      </w:pPr>
      <w:r>
        <w:rPr>
          <w:spacing w:val="4"/>
        </w:rPr>
        <w:t>（一）为中标候选人或者中标候选人主要负</w:t>
      </w:r>
      <w:r>
        <w:rPr>
          <w:spacing w:val="3"/>
        </w:rPr>
        <w:t>责人的近亲属；</w:t>
      </w:r>
    </w:p>
    <w:p w14:paraId="6D64A2C1">
      <w:pPr>
        <w:pStyle w:val="2"/>
        <w:spacing w:before="209" w:line="282" w:lineRule="auto"/>
        <w:ind w:left="8" w:right="72" w:firstLine="634"/>
      </w:pPr>
      <w:r>
        <w:rPr>
          <w:spacing w:val="6"/>
        </w:rPr>
        <w:t>（</w:t>
      </w:r>
      <w:r>
        <w:rPr>
          <w:spacing w:val="-63"/>
        </w:rPr>
        <w:t xml:space="preserve"> </w:t>
      </w:r>
      <w:r>
        <w:rPr>
          <w:spacing w:val="6"/>
        </w:rPr>
        <w:t>二</w:t>
      </w:r>
      <w:r>
        <w:rPr>
          <w:spacing w:val="-63"/>
        </w:rPr>
        <w:t xml:space="preserve"> </w:t>
      </w:r>
      <w:r>
        <w:rPr>
          <w:spacing w:val="6"/>
        </w:rPr>
        <w:t>）与中标候选人有直接经济利益关系，可能影响定标</w:t>
      </w:r>
      <w:r>
        <w:t xml:space="preserve"> </w:t>
      </w:r>
      <w:r>
        <w:rPr>
          <w:spacing w:val="5"/>
        </w:rPr>
        <w:t>公正性的；</w:t>
      </w:r>
    </w:p>
    <w:p w14:paraId="7F515115">
      <w:pPr>
        <w:pStyle w:val="2"/>
        <w:spacing w:before="211" w:line="284" w:lineRule="auto"/>
        <w:ind w:left="22" w:right="72" w:firstLine="620"/>
      </w:pPr>
      <w:r>
        <w:rPr>
          <w:spacing w:val="10"/>
        </w:rPr>
        <w:t>（</w:t>
      </w:r>
      <w:r>
        <w:rPr>
          <w:spacing w:val="-71"/>
        </w:rPr>
        <w:t xml:space="preserve"> </w:t>
      </w:r>
      <w:r>
        <w:rPr>
          <w:spacing w:val="10"/>
        </w:rPr>
        <w:t>三）曾因招标投标违法违规行为而受到行政处罚或刑事</w:t>
      </w:r>
      <w:r>
        <w:t xml:space="preserve"> </w:t>
      </w:r>
      <w:r>
        <w:rPr>
          <w:spacing w:val="1"/>
        </w:rPr>
        <w:t>处罚的；</w:t>
      </w:r>
    </w:p>
    <w:p w14:paraId="240869BD">
      <w:pPr>
        <w:pStyle w:val="2"/>
        <w:spacing w:before="206" w:line="284" w:lineRule="auto"/>
        <w:ind w:left="13" w:right="72" w:firstLine="629"/>
      </w:pPr>
      <w:r>
        <w:rPr>
          <w:spacing w:val="9"/>
        </w:rPr>
        <w:t>（</w:t>
      </w:r>
      <w:r>
        <w:rPr>
          <w:spacing w:val="-46"/>
        </w:rPr>
        <w:t xml:space="preserve"> </w:t>
      </w:r>
      <w:r>
        <w:rPr>
          <w:spacing w:val="9"/>
        </w:rPr>
        <w:t>四）行政监督部门的工作人员不得担任本部门负责监督</w:t>
      </w:r>
      <w:r>
        <w:t xml:space="preserve"> </w:t>
      </w:r>
      <w:r>
        <w:rPr>
          <w:spacing w:val="7"/>
        </w:rPr>
        <w:t>项目的定标委员会成员。</w:t>
      </w:r>
    </w:p>
    <w:p w14:paraId="7A60672A">
      <w:pPr>
        <w:pStyle w:val="2"/>
        <w:spacing w:before="207" w:line="334" w:lineRule="auto"/>
        <w:ind w:left="7" w:right="72" w:firstLine="643"/>
        <w:jc w:val="both"/>
      </w:pPr>
      <w:r>
        <w:rPr>
          <w:rFonts w:ascii="黑体" w:hAnsi="黑体" w:eastAsia="黑体" w:cs="黑体"/>
          <w:spacing w:val="11"/>
        </w:rPr>
        <w:t xml:space="preserve">第十二条  </w:t>
      </w:r>
      <w:r>
        <w:rPr>
          <w:spacing w:val="11"/>
        </w:rPr>
        <w:t>招标人应组建不少于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  <w:spacing w:val="11"/>
        </w:rPr>
        <w:t xml:space="preserve">3 </w:t>
      </w:r>
      <w:r>
        <w:rPr>
          <w:spacing w:val="11"/>
        </w:rPr>
        <w:t>人的定标监督小组，其</w:t>
      </w:r>
      <w:r>
        <w:t xml:space="preserve"> </w:t>
      </w:r>
      <w:r>
        <w:rPr>
          <w:spacing w:val="13"/>
        </w:rPr>
        <w:t>职责是对定标委员会的组建、定标过程及招标人在定标前的清</w:t>
      </w:r>
      <w:r>
        <w:t xml:space="preserve"> </w:t>
      </w:r>
      <w:r>
        <w:rPr>
          <w:spacing w:val="9"/>
        </w:rPr>
        <w:t>标环节和对中标候选人的考察等进行全程监</w:t>
      </w:r>
      <w:r>
        <w:rPr>
          <w:spacing w:val="8"/>
        </w:rPr>
        <w:t>督。</w:t>
      </w:r>
    </w:p>
    <w:p w14:paraId="16D480DC">
      <w:pPr>
        <w:pStyle w:val="2"/>
        <w:spacing w:before="56" w:line="327" w:lineRule="auto"/>
        <w:ind w:right="72" w:firstLine="650"/>
      </w:pPr>
      <w:r>
        <w:rPr>
          <w:rFonts w:ascii="黑体" w:hAnsi="黑体" w:eastAsia="黑体" w:cs="黑体"/>
          <w:spacing w:val="12"/>
        </w:rPr>
        <w:t xml:space="preserve">第十三条  </w:t>
      </w:r>
      <w:r>
        <w:rPr>
          <w:spacing w:val="12"/>
        </w:rPr>
        <w:t>招标文件中应当明确定标办法。定标办法主要</w:t>
      </w:r>
      <w:r>
        <w:rPr>
          <w:spacing w:val="14"/>
        </w:rPr>
        <w:t xml:space="preserve"> </w:t>
      </w:r>
      <w:r>
        <w:rPr>
          <w:spacing w:val="9"/>
        </w:rPr>
        <w:t>包括：票决定标法、价格竞争定标法和集体议事法。</w:t>
      </w:r>
    </w:p>
    <w:p w14:paraId="358C1E8F">
      <w:pPr>
        <w:pStyle w:val="2"/>
        <w:spacing w:before="62" w:line="304" w:lineRule="auto"/>
        <w:ind w:left="4" w:right="72" w:firstLine="637"/>
      </w:pPr>
      <w:r>
        <w:rPr>
          <w:spacing w:val="6"/>
        </w:rPr>
        <w:t>（</w:t>
      </w:r>
      <w:r>
        <w:rPr>
          <w:spacing w:val="-63"/>
        </w:rPr>
        <w:t xml:space="preserve"> </w:t>
      </w:r>
      <w:r>
        <w:rPr>
          <w:spacing w:val="6"/>
        </w:rPr>
        <w:t>一</w:t>
      </w:r>
      <w:r>
        <w:rPr>
          <w:spacing w:val="-63"/>
        </w:rPr>
        <w:t xml:space="preserve"> </w:t>
      </w:r>
      <w:r>
        <w:rPr>
          <w:spacing w:val="6"/>
        </w:rPr>
        <w:t>）票决定标法。定标委员会成员对中标候选人进行记</w:t>
      </w:r>
      <w:r>
        <w:t xml:space="preserve"> </w:t>
      </w:r>
      <w:r>
        <w:rPr>
          <w:spacing w:val="10"/>
        </w:rPr>
        <w:t>名投票，得票最高的即为中标人。</w:t>
      </w:r>
      <w:r>
        <w:rPr>
          <w:spacing w:val="-70"/>
        </w:rPr>
        <w:t xml:space="preserve"> </w:t>
      </w:r>
      <w:r>
        <w:rPr>
          <w:spacing w:val="10"/>
        </w:rPr>
        <w:t>当最高得票相同时，</w:t>
      </w:r>
      <w:r>
        <w:rPr>
          <w:spacing w:val="9"/>
        </w:rPr>
        <w:t>对得票</w:t>
      </w:r>
      <w:r>
        <w:t xml:space="preserve"> </w:t>
      </w:r>
      <w:r>
        <w:rPr>
          <w:spacing w:val="9"/>
        </w:rPr>
        <w:t>最高的中标候选人再次进行记名投票，直至选出中标人。</w:t>
      </w:r>
    </w:p>
    <w:p w14:paraId="370EB89E">
      <w:pPr>
        <w:pStyle w:val="2"/>
        <w:spacing w:before="211" w:line="303" w:lineRule="auto"/>
        <w:ind w:left="21" w:right="72" w:firstLine="621"/>
      </w:pPr>
      <w:r>
        <w:rPr>
          <w:spacing w:val="10"/>
        </w:rPr>
        <w:t>（</w:t>
      </w:r>
      <w:r>
        <w:rPr>
          <w:spacing w:val="-71"/>
        </w:rPr>
        <w:t xml:space="preserve"> </w:t>
      </w:r>
      <w:r>
        <w:rPr>
          <w:spacing w:val="10"/>
        </w:rPr>
        <w:t>二）价格竞争定标法。按照招标文件规定的价格竞争方</w:t>
      </w:r>
      <w:r>
        <w:t xml:space="preserve"> </w:t>
      </w:r>
      <w:r>
        <w:rPr>
          <w:spacing w:val="12"/>
        </w:rPr>
        <w:t xml:space="preserve">法确定中标人。可以采用最低投标价法、次低价法、平均值法 </w:t>
      </w:r>
      <w:r>
        <w:rPr>
          <w:spacing w:val="8"/>
        </w:rPr>
        <w:t>等确定中标人。具体方法由招标人在招标文件中明确。</w:t>
      </w:r>
    </w:p>
    <w:p w14:paraId="11E6AF07">
      <w:pPr>
        <w:spacing w:line="303" w:lineRule="auto"/>
        <w:sectPr>
          <w:footerReference r:id="rId10" w:type="default"/>
          <w:pgSz w:w="11906" w:h="16839"/>
          <w:pgMar w:top="400" w:right="1515" w:bottom="1397" w:left="1588" w:header="0" w:footer="1147" w:gutter="0"/>
          <w:cols w:space="720" w:num="1"/>
        </w:sectPr>
      </w:pPr>
    </w:p>
    <w:p w14:paraId="28005BC1">
      <w:pPr>
        <w:spacing w:line="254" w:lineRule="auto"/>
        <w:rPr>
          <w:rFonts w:ascii="Arial"/>
          <w:sz w:val="21"/>
        </w:rPr>
      </w:pPr>
    </w:p>
    <w:p w14:paraId="2DCFA560">
      <w:pPr>
        <w:spacing w:line="254" w:lineRule="auto"/>
        <w:rPr>
          <w:rFonts w:ascii="Arial"/>
          <w:sz w:val="21"/>
        </w:rPr>
      </w:pPr>
    </w:p>
    <w:p w14:paraId="03E786E1">
      <w:pPr>
        <w:spacing w:line="254" w:lineRule="auto"/>
        <w:rPr>
          <w:rFonts w:ascii="Arial"/>
          <w:sz w:val="21"/>
        </w:rPr>
      </w:pPr>
    </w:p>
    <w:p w14:paraId="3DAC713D">
      <w:pPr>
        <w:spacing w:line="254" w:lineRule="auto"/>
        <w:rPr>
          <w:rFonts w:ascii="Arial"/>
          <w:sz w:val="21"/>
        </w:rPr>
      </w:pPr>
    </w:p>
    <w:p w14:paraId="05238C93">
      <w:pPr>
        <w:spacing w:line="254" w:lineRule="auto"/>
        <w:rPr>
          <w:rFonts w:ascii="Arial"/>
          <w:sz w:val="21"/>
        </w:rPr>
      </w:pPr>
    </w:p>
    <w:p w14:paraId="3D2529A9">
      <w:pPr>
        <w:spacing w:line="254" w:lineRule="auto"/>
        <w:rPr>
          <w:rFonts w:ascii="Arial"/>
          <w:sz w:val="21"/>
        </w:rPr>
      </w:pPr>
    </w:p>
    <w:p w14:paraId="1C88F71F">
      <w:pPr>
        <w:spacing w:line="254" w:lineRule="auto"/>
        <w:rPr>
          <w:rFonts w:ascii="Arial"/>
          <w:sz w:val="21"/>
        </w:rPr>
      </w:pPr>
    </w:p>
    <w:p w14:paraId="1E425826">
      <w:pPr>
        <w:pStyle w:val="2"/>
        <w:spacing w:before="101" w:line="338" w:lineRule="auto"/>
        <w:ind w:left="19" w:firstLine="627"/>
        <w:jc w:val="both"/>
      </w:pPr>
      <w:r>
        <w:rPr>
          <w:spacing w:val="10"/>
        </w:rPr>
        <w:t>（</w:t>
      </w:r>
      <w:r>
        <w:rPr>
          <w:spacing w:val="-71"/>
        </w:rPr>
        <w:t xml:space="preserve"> </w:t>
      </w:r>
      <w:r>
        <w:rPr>
          <w:spacing w:val="10"/>
        </w:rPr>
        <w:t>三）集体议事法。定标委员会进行集体商议，定标委员</w:t>
      </w:r>
      <w:r>
        <w:t xml:space="preserve"> </w:t>
      </w:r>
      <w:r>
        <w:rPr>
          <w:spacing w:val="12"/>
        </w:rPr>
        <w:t>会成员各自发表意见，最终由定标委员会负责人综合各成员意</w:t>
      </w:r>
      <w:r>
        <w:rPr>
          <w:spacing w:val="18"/>
        </w:rPr>
        <w:t xml:space="preserve"> </w:t>
      </w:r>
      <w:r>
        <w:rPr>
          <w:spacing w:val="12"/>
        </w:rPr>
        <w:t>见确定中标候选人排序。集体议事法应当在招标文件中明确议</w:t>
      </w:r>
      <w:r>
        <w:rPr>
          <w:spacing w:val="18"/>
        </w:rPr>
        <w:t xml:space="preserve"> </w:t>
      </w:r>
      <w:r>
        <w:rPr>
          <w:spacing w:val="3"/>
        </w:rPr>
        <w:t>事规则。</w:t>
      </w:r>
    </w:p>
    <w:p w14:paraId="5786590C">
      <w:pPr>
        <w:pStyle w:val="2"/>
        <w:spacing w:before="46" w:line="338" w:lineRule="auto"/>
        <w:ind w:left="19" w:firstLine="635"/>
        <w:jc w:val="both"/>
      </w:pPr>
      <w:r>
        <w:rPr>
          <w:rFonts w:ascii="黑体" w:hAnsi="黑体" w:eastAsia="黑体" w:cs="黑体"/>
          <w:spacing w:val="12"/>
        </w:rPr>
        <w:t xml:space="preserve">第十四条  </w:t>
      </w:r>
      <w:r>
        <w:rPr>
          <w:spacing w:val="12"/>
        </w:rPr>
        <w:t>定标前招标人需要开展清标与考察的，应当在</w:t>
      </w:r>
      <w:r>
        <w:rPr>
          <w:spacing w:val="14"/>
        </w:rPr>
        <w:t xml:space="preserve"> </w:t>
      </w:r>
      <w:r>
        <w:rPr>
          <w:spacing w:val="12"/>
        </w:rPr>
        <w:t>招标文件中明确清标与考察的内容和方法，并出具清标和考察</w:t>
      </w:r>
      <w:r>
        <w:rPr>
          <w:spacing w:val="18"/>
        </w:rPr>
        <w:t xml:space="preserve"> </w:t>
      </w:r>
      <w:r>
        <w:rPr>
          <w:spacing w:val="12"/>
        </w:rPr>
        <w:t>的书面报告提交定标委员会作为定标参考因素。招标人的清标</w:t>
      </w:r>
      <w:r>
        <w:rPr>
          <w:spacing w:val="18"/>
        </w:rPr>
        <w:t xml:space="preserve"> </w:t>
      </w:r>
      <w:r>
        <w:rPr>
          <w:spacing w:val="8"/>
        </w:rPr>
        <w:t>和考察报告应当实事求是，客观公正。</w:t>
      </w:r>
    </w:p>
    <w:p w14:paraId="23E736BC">
      <w:pPr>
        <w:pStyle w:val="2"/>
        <w:spacing w:before="55" w:line="335" w:lineRule="auto"/>
        <w:ind w:left="22" w:firstLine="639"/>
        <w:jc w:val="both"/>
      </w:pPr>
      <w:r>
        <w:rPr>
          <w:spacing w:val="13"/>
        </w:rPr>
        <w:t>参与清标和考察的人员应为招标人的在职人员</w:t>
      </w:r>
      <w:r>
        <w:rPr>
          <w:spacing w:val="12"/>
        </w:rPr>
        <w:t>。在职人员</w:t>
      </w:r>
      <w:r>
        <w:t xml:space="preserve"> </w:t>
      </w:r>
      <w:r>
        <w:rPr>
          <w:spacing w:val="12"/>
        </w:rPr>
        <w:t>无法满足专业需要的，可以邀请第三方机构人员或相关领域专</w:t>
      </w:r>
      <w:r>
        <w:rPr>
          <w:spacing w:val="15"/>
        </w:rPr>
        <w:t xml:space="preserve"> </w:t>
      </w:r>
      <w:r>
        <w:rPr>
          <w:spacing w:val="6"/>
        </w:rPr>
        <w:t>家参与清标和考察。</w:t>
      </w:r>
    </w:p>
    <w:p w14:paraId="7D785CEF">
      <w:pPr>
        <w:pStyle w:val="2"/>
        <w:spacing w:before="49" w:line="338" w:lineRule="auto"/>
        <w:ind w:left="14" w:firstLine="645"/>
        <w:jc w:val="both"/>
      </w:pPr>
      <w:r>
        <w:rPr>
          <w:spacing w:val="13"/>
        </w:rPr>
        <w:t>招标人组织清标的，应针对所有中标候选人的投</w:t>
      </w:r>
      <w:r>
        <w:rPr>
          <w:spacing w:val="12"/>
        </w:rPr>
        <w:t>标文件进</w:t>
      </w:r>
      <w:r>
        <w:t xml:space="preserve"> </w:t>
      </w:r>
      <w:r>
        <w:rPr>
          <w:spacing w:val="13"/>
        </w:rPr>
        <w:t>行。清标内容包括中标候选人报价合理性分析（含不</w:t>
      </w:r>
      <w:r>
        <w:rPr>
          <w:spacing w:val="12"/>
        </w:rPr>
        <w:t>平衡报价</w:t>
      </w:r>
      <w:r>
        <w:t xml:space="preserve"> </w:t>
      </w:r>
      <w:r>
        <w:rPr>
          <w:spacing w:val="1"/>
        </w:rPr>
        <w:t>分析和低于成本价分析）、信用信息、资质业绩、履约能力、拟</w:t>
      </w:r>
      <w:r>
        <w:rPr>
          <w:spacing w:val="9"/>
        </w:rPr>
        <w:t xml:space="preserve"> 派项目经理情况以及招标人认为需要核实的其他内</w:t>
      </w:r>
      <w:r>
        <w:rPr>
          <w:spacing w:val="8"/>
        </w:rPr>
        <w:t>容。</w:t>
      </w:r>
    </w:p>
    <w:p w14:paraId="67B8E655">
      <w:pPr>
        <w:pStyle w:val="2"/>
        <w:spacing w:before="46" w:line="336" w:lineRule="auto"/>
        <w:ind w:left="12" w:firstLine="648"/>
        <w:jc w:val="both"/>
      </w:pPr>
      <w:r>
        <w:rPr>
          <w:spacing w:val="13"/>
        </w:rPr>
        <w:t>招标人组织考察的，应面向所有中标候选人。招</w:t>
      </w:r>
      <w:r>
        <w:rPr>
          <w:spacing w:val="12"/>
        </w:rPr>
        <w:t>标人在考</w:t>
      </w:r>
      <w:r>
        <w:t xml:space="preserve"> </w:t>
      </w:r>
      <w:r>
        <w:rPr>
          <w:spacing w:val="13"/>
        </w:rPr>
        <w:t>察时不得与中标候选人就投标价格、投标方案等实质性内容进</w:t>
      </w:r>
      <w:r>
        <w:t xml:space="preserve"> </w:t>
      </w:r>
      <w:r>
        <w:rPr>
          <w:spacing w:val="4"/>
        </w:rPr>
        <w:t>行谈判。</w:t>
      </w:r>
    </w:p>
    <w:p w14:paraId="5CC1C12B">
      <w:pPr>
        <w:pStyle w:val="2"/>
        <w:spacing w:before="51" w:line="337" w:lineRule="auto"/>
        <w:ind w:left="7" w:firstLine="648"/>
        <w:jc w:val="both"/>
      </w:pPr>
      <w:r>
        <w:rPr>
          <w:rFonts w:ascii="黑体" w:hAnsi="黑体" w:eastAsia="黑体" w:cs="黑体"/>
          <w:spacing w:val="12"/>
        </w:rPr>
        <w:t xml:space="preserve">第十五条  </w:t>
      </w:r>
      <w:r>
        <w:rPr>
          <w:spacing w:val="12"/>
        </w:rPr>
        <w:t>在定标过程中，定标委员会应当重点考虑中标</w:t>
      </w:r>
      <w:r>
        <w:rPr>
          <w:spacing w:val="14"/>
        </w:rPr>
        <w:t xml:space="preserve"> </w:t>
      </w:r>
      <w:r>
        <w:rPr>
          <w:spacing w:val="13"/>
        </w:rPr>
        <w:t>候选人信用状况、投标价格、投标方案以及招标人认为需要考</w:t>
      </w:r>
      <w:r>
        <w:rPr>
          <w:spacing w:val="3"/>
        </w:rPr>
        <w:t xml:space="preserve"> </w:t>
      </w:r>
      <w:r>
        <w:rPr>
          <w:spacing w:val="13"/>
        </w:rPr>
        <w:t>量的其他要素。鼓励招标人优先选择信用状况好、过往项目履</w:t>
      </w:r>
      <w:r>
        <w:rPr>
          <w:spacing w:val="3"/>
        </w:rPr>
        <w:t xml:space="preserve"> </w:t>
      </w:r>
      <w:r>
        <w:rPr>
          <w:spacing w:val="9"/>
        </w:rPr>
        <w:t>约评价好、农民工工资保障好的中标候选人。</w:t>
      </w:r>
    </w:p>
    <w:p w14:paraId="0A3FA1AC">
      <w:pPr>
        <w:spacing w:line="337" w:lineRule="auto"/>
        <w:sectPr>
          <w:footerReference r:id="rId11" w:type="default"/>
          <w:pgSz w:w="11906" w:h="16839"/>
          <w:pgMar w:top="400" w:right="1588" w:bottom="1400" w:left="1584" w:header="0" w:footer="1147" w:gutter="0"/>
          <w:cols w:space="720" w:num="1"/>
        </w:sectPr>
      </w:pPr>
    </w:p>
    <w:p w14:paraId="519B7F4B">
      <w:pPr>
        <w:spacing w:line="254" w:lineRule="auto"/>
        <w:rPr>
          <w:rFonts w:ascii="Arial"/>
          <w:sz w:val="21"/>
        </w:rPr>
      </w:pPr>
    </w:p>
    <w:p w14:paraId="32EF936B">
      <w:pPr>
        <w:spacing w:line="254" w:lineRule="auto"/>
        <w:rPr>
          <w:rFonts w:ascii="Arial"/>
          <w:sz w:val="21"/>
        </w:rPr>
      </w:pPr>
    </w:p>
    <w:p w14:paraId="493B4C04">
      <w:pPr>
        <w:spacing w:line="254" w:lineRule="auto"/>
        <w:rPr>
          <w:rFonts w:ascii="Arial"/>
          <w:sz w:val="21"/>
        </w:rPr>
      </w:pPr>
    </w:p>
    <w:p w14:paraId="16FA00DB">
      <w:pPr>
        <w:spacing w:line="254" w:lineRule="auto"/>
        <w:rPr>
          <w:rFonts w:ascii="Arial"/>
          <w:sz w:val="21"/>
        </w:rPr>
      </w:pPr>
    </w:p>
    <w:p w14:paraId="16D1BFE4">
      <w:pPr>
        <w:spacing w:line="254" w:lineRule="auto"/>
        <w:rPr>
          <w:rFonts w:ascii="Arial"/>
          <w:sz w:val="21"/>
        </w:rPr>
      </w:pPr>
    </w:p>
    <w:p w14:paraId="53C603FA">
      <w:pPr>
        <w:spacing w:line="254" w:lineRule="auto"/>
        <w:rPr>
          <w:rFonts w:ascii="Arial"/>
          <w:sz w:val="21"/>
        </w:rPr>
      </w:pPr>
    </w:p>
    <w:p w14:paraId="7109BCE5">
      <w:pPr>
        <w:spacing w:line="254" w:lineRule="auto"/>
        <w:rPr>
          <w:rFonts w:ascii="Arial"/>
          <w:sz w:val="21"/>
        </w:rPr>
      </w:pPr>
    </w:p>
    <w:p w14:paraId="5BA0E977">
      <w:pPr>
        <w:pStyle w:val="2"/>
        <w:spacing w:before="100" w:line="334" w:lineRule="auto"/>
        <w:ind w:left="5" w:right="83" w:firstLine="638"/>
        <w:jc w:val="both"/>
      </w:pPr>
      <w:r>
        <w:rPr>
          <w:rFonts w:ascii="黑体" w:hAnsi="黑体" w:eastAsia="黑体" w:cs="黑体"/>
          <w:spacing w:val="14"/>
        </w:rPr>
        <w:t xml:space="preserve">第十六条  </w:t>
      </w:r>
      <w:r>
        <w:rPr>
          <w:spacing w:val="14"/>
        </w:rPr>
        <w:t>定标会议原则上应在评标结果公示结束后的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14"/>
        </w:rPr>
        <w:t>5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10"/>
        </w:rPr>
        <w:t>个工作日</w:t>
      </w:r>
      <w:r>
        <w:rPr>
          <w:spacing w:val="-81"/>
        </w:rPr>
        <w:t xml:space="preserve"> </w:t>
      </w:r>
      <w:r>
        <w:rPr>
          <w:spacing w:val="10"/>
        </w:rPr>
        <w:t>内召开。若招标人需要对中标候选人开展清标与考察</w:t>
      </w:r>
      <w:r>
        <w:t xml:space="preserve"> </w:t>
      </w:r>
      <w:r>
        <w:rPr>
          <w:spacing w:val="6"/>
        </w:rPr>
        <w:t>的，在评标结果公示结束后的</w:t>
      </w:r>
      <w:r>
        <w:rPr>
          <w:spacing w:val="-22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 xml:space="preserve">10 </w:t>
      </w:r>
      <w:r>
        <w:rPr>
          <w:spacing w:val="6"/>
        </w:rPr>
        <w:t>个工作日内召开。</w:t>
      </w:r>
    </w:p>
    <w:p w14:paraId="43D854FD">
      <w:pPr>
        <w:pStyle w:val="2"/>
        <w:spacing w:before="55" w:line="342" w:lineRule="auto"/>
        <w:ind w:firstLine="647"/>
        <w:jc w:val="both"/>
      </w:pPr>
      <w:r>
        <w:rPr>
          <w:spacing w:val="13"/>
        </w:rPr>
        <w:t>定标会议场所应当以便捷规范、有利监督为原则，</w:t>
      </w:r>
      <w:r>
        <w:rPr>
          <w:spacing w:val="12"/>
        </w:rPr>
        <w:t>选择我</w:t>
      </w:r>
      <w:r>
        <w:t xml:space="preserve"> </w:t>
      </w:r>
      <w:r>
        <w:rPr>
          <w:spacing w:val="13"/>
        </w:rPr>
        <w:t>市各级公共资源交易中心的开评标场所或者其他具备条件的场</w:t>
      </w:r>
      <w:r>
        <w:t xml:space="preserve"> </w:t>
      </w:r>
      <w:r>
        <w:rPr>
          <w:spacing w:val="13"/>
        </w:rPr>
        <w:t>所进行。若因公共资源交易中心的开评标场地不足等</w:t>
      </w:r>
      <w:r>
        <w:rPr>
          <w:spacing w:val="12"/>
        </w:rPr>
        <w:t>原因不能</w:t>
      </w:r>
      <w:r>
        <w:t xml:space="preserve"> </w:t>
      </w:r>
      <w:r>
        <w:rPr>
          <w:spacing w:val="13"/>
        </w:rPr>
        <w:t>满足招标人定标需求，报各级发改部门备案后，可以选择其他</w:t>
      </w:r>
      <w:r>
        <w:t xml:space="preserve"> </w:t>
      </w:r>
      <w:r>
        <w:rPr>
          <w:spacing w:val="4"/>
        </w:rPr>
        <w:t>具备条件的场所进行定标。招标人应对定标活动全程录音录像，</w:t>
      </w:r>
      <w:r>
        <w:rPr>
          <w:spacing w:val="11"/>
        </w:rPr>
        <w:t xml:space="preserve"> </w:t>
      </w:r>
      <w:r>
        <w:rPr>
          <w:spacing w:val="13"/>
        </w:rPr>
        <w:t>录音录像应当清晰可辨，并按照档案管理办法，及时存档保管</w:t>
      </w:r>
      <w:r>
        <w:t xml:space="preserve"> </w:t>
      </w:r>
      <w:r>
        <w:rPr>
          <w:spacing w:val="8"/>
        </w:rPr>
        <w:t>备查。</w:t>
      </w:r>
      <w:r>
        <w:rPr>
          <w:spacing w:val="-80"/>
        </w:rPr>
        <w:t xml:space="preserve"> </w:t>
      </w:r>
      <w:r>
        <w:rPr>
          <w:spacing w:val="8"/>
        </w:rPr>
        <w:t>同时，招标人应当自确定中标人之日起十五日</w:t>
      </w:r>
      <w:r>
        <w:rPr>
          <w:spacing w:val="-92"/>
        </w:rPr>
        <w:t xml:space="preserve"> </w:t>
      </w:r>
      <w:r>
        <w:rPr>
          <w:spacing w:val="7"/>
        </w:rPr>
        <w:t>内，将定</w:t>
      </w:r>
      <w:r>
        <w:t xml:space="preserve"> </w:t>
      </w:r>
      <w:r>
        <w:rPr>
          <w:spacing w:val="13"/>
        </w:rPr>
        <w:t>标报告上传至电子交易系统，音视频资料报公共资源交易中心</w:t>
      </w:r>
      <w:r>
        <w:t xml:space="preserve"> </w:t>
      </w:r>
      <w:r>
        <w:rPr>
          <w:spacing w:val="5"/>
        </w:rPr>
        <w:t>备份存档。</w:t>
      </w:r>
    </w:p>
    <w:p w14:paraId="539781B0">
      <w:pPr>
        <w:pStyle w:val="2"/>
        <w:spacing w:before="51" w:line="339" w:lineRule="auto"/>
        <w:ind w:left="6" w:right="83" w:firstLine="636"/>
      </w:pPr>
      <w:r>
        <w:rPr>
          <w:rFonts w:ascii="黑体" w:hAnsi="黑体" w:eastAsia="黑体" w:cs="黑体"/>
          <w:spacing w:val="12"/>
        </w:rPr>
        <w:t xml:space="preserve">第十七条  </w:t>
      </w:r>
      <w:r>
        <w:rPr>
          <w:spacing w:val="12"/>
        </w:rPr>
        <w:t>定标委员会可以要求中标候选人拟派的项目负</w:t>
      </w:r>
      <w:r>
        <w:rPr>
          <w:spacing w:val="14"/>
        </w:rPr>
        <w:t xml:space="preserve"> </w:t>
      </w:r>
      <w:r>
        <w:rPr>
          <w:spacing w:val="13"/>
        </w:rPr>
        <w:t>责人或技术负责人在定标会议现场进行答辩</w:t>
      </w:r>
      <w:r>
        <w:rPr>
          <w:spacing w:val="12"/>
        </w:rPr>
        <w:t>，但相关要求应在</w:t>
      </w:r>
      <w:r>
        <w:t xml:space="preserve"> </w:t>
      </w:r>
      <w:r>
        <w:rPr>
          <w:spacing w:val="13"/>
        </w:rPr>
        <w:t>招标文件中明确。答辩的内容应当限于与招</w:t>
      </w:r>
      <w:r>
        <w:rPr>
          <w:spacing w:val="12"/>
        </w:rPr>
        <w:t>标项目合同履行有</w:t>
      </w:r>
      <w:r>
        <w:t xml:space="preserve"> </w:t>
      </w:r>
      <w:r>
        <w:rPr>
          <w:spacing w:val="13"/>
        </w:rPr>
        <w:t>关的技术和商务内容。答辩过程中，定标委</w:t>
      </w:r>
      <w:r>
        <w:rPr>
          <w:spacing w:val="12"/>
        </w:rPr>
        <w:t>员会不得与中标候</w:t>
      </w:r>
      <w:r>
        <w:t xml:space="preserve"> </w:t>
      </w:r>
      <w:r>
        <w:rPr>
          <w:spacing w:val="8"/>
        </w:rPr>
        <w:t>选人就投标价格、投标方案等实质性内容进行谈判。</w:t>
      </w:r>
    </w:p>
    <w:p w14:paraId="687AE4CB">
      <w:pPr>
        <w:pStyle w:val="2"/>
        <w:spacing w:before="56" w:line="337" w:lineRule="auto"/>
        <w:ind w:left="10" w:right="83" w:firstLine="633"/>
      </w:pPr>
      <w:r>
        <w:rPr>
          <w:rFonts w:ascii="黑体" w:hAnsi="黑体" w:eastAsia="黑体" w:cs="黑体"/>
          <w:spacing w:val="25"/>
        </w:rPr>
        <w:t xml:space="preserve">第十八条  </w:t>
      </w:r>
      <w:r>
        <w:rPr>
          <w:spacing w:val="25"/>
        </w:rPr>
        <w:t>定标委员会应当将定标工作情况形成定标报</w:t>
      </w:r>
      <w:r>
        <w:rPr>
          <w:spacing w:val="11"/>
        </w:rPr>
        <w:t xml:space="preserve"> </w:t>
      </w:r>
      <w:r>
        <w:rPr>
          <w:spacing w:val="12"/>
        </w:rPr>
        <w:t>告。定标报告应当记录定标委员会成员名单、定标监督小组名</w:t>
      </w:r>
      <w:r>
        <w:rPr>
          <w:spacing w:val="15"/>
        </w:rPr>
        <w:t xml:space="preserve"> </w:t>
      </w:r>
      <w:r>
        <w:rPr>
          <w:spacing w:val="1"/>
        </w:rPr>
        <w:t xml:space="preserve">单、定标办法、答辩情况（如有）、定标工作情况、定标结果， </w:t>
      </w:r>
      <w:r>
        <w:rPr>
          <w:spacing w:val="8"/>
        </w:rPr>
        <w:t>并由定标委员会成员、定标监督小组成员签字。</w:t>
      </w:r>
    </w:p>
    <w:p w14:paraId="1899CBB0">
      <w:pPr>
        <w:pStyle w:val="2"/>
        <w:spacing w:before="54" w:line="223" w:lineRule="auto"/>
        <w:ind w:left="643"/>
      </w:pPr>
      <w:r>
        <w:rPr>
          <w:rFonts w:ascii="黑体" w:hAnsi="黑体" w:eastAsia="黑体" w:cs="黑体"/>
          <w:spacing w:val="6"/>
        </w:rPr>
        <w:t xml:space="preserve">第十九条  </w:t>
      </w:r>
      <w:r>
        <w:rPr>
          <w:spacing w:val="6"/>
        </w:rPr>
        <w:t>招标人应当在定标工作完成后的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 xml:space="preserve">3  </w:t>
      </w:r>
      <w:r>
        <w:rPr>
          <w:spacing w:val="6"/>
        </w:rPr>
        <w:t>日</w:t>
      </w:r>
      <w:r>
        <w:rPr>
          <w:spacing w:val="-93"/>
        </w:rPr>
        <w:t xml:space="preserve"> </w:t>
      </w:r>
      <w:r>
        <w:rPr>
          <w:spacing w:val="6"/>
        </w:rPr>
        <w:t>内向中标</w:t>
      </w:r>
    </w:p>
    <w:p w14:paraId="5C51FF1F">
      <w:pPr>
        <w:spacing w:line="223" w:lineRule="auto"/>
        <w:sectPr>
          <w:footerReference r:id="rId12" w:type="default"/>
          <w:pgSz w:w="11906" w:h="16839"/>
          <w:pgMar w:top="400" w:right="1504" w:bottom="1400" w:left="1596" w:header="0" w:footer="1147" w:gutter="0"/>
          <w:cols w:space="720" w:num="1"/>
        </w:sectPr>
      </w:pPr>
    </w:p>
    <w:p w14:paraId="6939D17C">
      <w:pPr>
        <w:spacing w:line="253" w:lineRule="auto"/>
        <w:rPr>
          <w:rFonts w:ascii="Arial"/>
          <w:sz w:val="21"/>
        </w:rPr>
      </w:pPr>
    </w:p>
    <w:p w14:paraId="36E729B7">
      <w:pPr>
        <w:spacing w:line="254" w:lineRule="auto"/>
        <w:rPr>
          <w:rFonts w:ascii="Arial"/>
          <w:sz w:val="21"/>
        </w:rPr>
      </w:pPr>
    </w:p>
    <w:p w14:paraId="0C38C9E8">
      <w:pPr>
        <w:spacing w:line="254" w:lineRule="auto"/>
        <w:rPr>
          <w:rFonts w:ascii="Arial"/>
          <w:sz w:val="21"/>
        </w:rPr>
      </w:pPr>
    </w:p>
    <w:p w14:paraId="256B5ACB">
      <w:pPr>
        <w:spacing w:line="254" w:lineRule="auto"/>
        <w:rPr>
          <w:rFonts w:ascii="Arial"/>
          <w:sz w:val="21"/>
        </w:rPr>
      </w:pPr>
    </w:p>
    <w:p w14:paraId="1ED48531">
      <w:pPr>
        <w:spacing w:line="254" w:lineRule="auto"/>
        <w:rPr>
          <w:rFonts w:ascii="Arial"/>
          <w:sz w:val="21"/>
        </w:rPr>
      </w:pPr>
    </w:p>
    <w:p w14:paraId="5860A62D">
      <w:pPr>
        <w:spacing w:line="254" w:lineRule="auto"/>
        <w:rPr>
          <w:rFonts w:ascii="Arial"/>
          <w:sz w:val="21"/>
        </w:rPr>
      </w:pPr>
    </w:p>
    <w:p w14:paraId="6682D9F4">
      <w:pPr>
        <w:spacing w:line="254" w:lineRule="auto"/>
        <w:rPr>
          <w:rFonts w:ascii="Arial"/>
          <w:sz w:val="21"/>
        </w:rPr>
      </w:pPr>
    </w:p>
    <w:p w14:paraId="3D8918C8">
      <w:pPr>
        <w:pStyle w:val="2"/>
        <w:spacing w:before="101" w:line="220" w:lineRule="auto"/>
        <w:ind w:left="17"/>
      </w:pPr>
      <w:r>
        <w:rPr>
          <w:spacing w:val="8"/>
        </w:rPr>
        <w:t>人发出中标通知书，同时发布中标结果公告。</w:t>
      </w:r>
    </w:p>
    <w:p w14:paraId="246EE5CE">
      <w:pPr>
        <w:pStyle w:val="2"/>
        <w:spacing w:before="207" w:line="338" w:lineRule="auto"/>
        <w:ind w:left="18" w:right="13" w:firstLine="636"/>
      </w:pPr>
      <w:r>
        <w:rPr>
          <w:rFonts w:ascii="黑体" w:hAnsi="黑体" w:eastAsia="黑体" w:cs="黑体"/>
          <w:spacing w:val="10"/>
        </w:rPr>
        <w:t xml:space="preserve">第二十条  </w:t>
      </w:r>
      <w:r>
        <w:rPr>
          <w:spacing w:val="10"/>
        </w:rPr>
        <w:t>中标人不得无故放弃中标。</w:t>
      </w:r>
      <w:r>
        <w:rPr>
          <w:spacing w:val="-59"/>
        </w:rPr>
        <w:t xml:space="preserve"> </w:t>
      </w:r>
      <w:r>
        <w:rPr>
          <w:spacing w:val="10"/>
        </w:rPr>
        <w:t>中标人放弃中标、</w:t>
      </w:r>
      <w:r>
        <w:t xml:space="preserve"> </w:t>
      </w:r>
      <w:r>
        <w:rPr>
          <w:spacing w:val="13"/>
        </w:rPr>
        <w:t>因不可抗力不能履行合同或因异议、投诉查</w:t>
      </w:r>
      <w:r>
        <w:rPr>
          <w:spacing w:val="12"/>
        </w:rPr>
        <w:t>实被取消中标资格</w:t>
      </w:r>
      <w:r>
        <w:t xml:space="preserve"> </w:t>
      </w:r>
      <w:r>
        <w:rPr>
          <w:spacing w:val="4"/>
        </w:rPr>
        <w:t>的，招标人可以在剩余中标候选人中，按照原定标程序和方法，</w:t>
      </w:r>
      <w:r>
        <w:rPr>
          <w:spacing w:val="5"/>
        </w:rPr>
        <w:t xml:space="preserve"> </w:t>
      </w:r>
      <w:r>
        <w:rPr>
          <w:spacing w:val="8"/>
        </w:rPr>
        <w:t>组织原定标委员会重新定标，也可以重新招标。</w:t>
      </w:r>
    </w:p>
    <w:p w14:paraId="24DBF752">
      <w:pPr>
        <w:pStyle w:val="2"/>
        <w:spacing w:before="49" w:line="338" w:lineRule="auto"/>
        <w:ind w:left="18" w:right="97" w:firstLine="636"/>
      </w:pPr>
      <w:r>
        <w:rPr>
          <w:rFonts w:ascii="黑体" w:hAnsi="黑体" w:eastAsia="黑体" w:cs="黑体"/>
          <w:spacing w:val="12"/>
        </w:rPr>
        <w:t xml:space="preserve">第二十一条  </w:t>
      </w:r>
      <w:r>
        <w:rPr>
          <w:spacing w:val="12"/>
        </w:rPr>
        <w:t>招标人、定标委员会成员及定标工作相关工</w:t>
      </w:r>
      <w:r>
        <w:rPr>
          <w:spacing w:val="14"/>
        </w:rPr>
        <w:t xml:space="preserve"> </w:t>
      </w:r>
      <w:r>
        <w:rPr>
          <w:spacing w:val="13"/>
        </w:rPr>
        <w:t>作人员应当严格遵守保密规定，不得以任何</w:t>
      </w:r>
      <w:r>
        <w:rPr>
          <w:spacing w:val="12"/>
        </w:rPr>
        <w:t>形式向外透露定标</w:t>
      </w:r>
      <w:r>
        <w:t xml:space="preserve"> </w:t>
      </w:r>
      <w:r>
        <w:rPr>
          <w:spacing w:val="10"/>
        </w:rPr>
        <w:t>委员会成员名单、清标或考察报告、</w:t>
      </w:r>
      <w:r>
        <w:rPr>
          <w:spacing w:val="-82"/>
        </w:rPr>
        <w:t xml:space="preserve"> </w:t>
      </w:r>
      <w:r>
        <w:rPr>
          <w:spacing w:val="10"/>
        </w:rPr>
        <w:t>中标人推荐以及与定标有</w:t>
      </w:r>
      <w:r>
        <w:t xml:space="preserve"> </w:t>
      </w:r>
      <w:r>
        <w:rPr>
          <w:spacing w:val="6"/>
        </w:rPr>
        <w:t>关的其他情况。</w:t>
      </w:r>
    </w:p>
    <w:p w14:paraId="50B2DD14">
      <w:pPr>
        <w:pStyle w:val="2"/>
        <w:spacing w:before="51" w:line="330" w:lineRule="auto"/>
        <w:ind w:left="29" w:right="97" w:firstLine="629"/>
      </w:pPr>
      <w:r>
        <w:rPr>
          <w:spacing w:val="13"/>
        </w:rPr>
        <w:t>定标会结束后，定标报告、录音录像等书面和影音</w:t>
      </w:r>
      <w:r>
        <w:rPr>
          <w:spacing w:val="12"/>
        </w:rPr>
        <w:t>资料要</w:t>
      </w:r>
      <w:r>
        <w:t xml:space="preserve"> </w:t>
      </w:r>
      <w:r>
        <w:rPr>
          <w:spacing w:val="7"/>
        </w:rPr>
        <w:t>统一密封保存。保存期不低于十五年。</w:t>
      </w:r>
    </w:p>
    <w:p w14:paraId="224D80CC">
      <w:pPr>
        <w:spacing w:line="263" w:lineRule="auto"/>
        <w:rPr>
          <w:rFonts w:ascii="Arial"/>
          <w:sz w:val="21"/>
        </w:rPr>
      </w:pPr>
    </w:p>
    <w:p w14:paraId="3B642392">
      <w:pPr>
        <w:spacing w:line="264" w:lineRule="auto"/>
        <w:rPr>
          <w:rFonts w:ascii="Arial"/>
          <w:sz w:val="21"/>
        </w:rPr>
      </w:pPr>
    </w:p>
    <w:p w14:paraId="60EBE259">
      <w:pPr>
        <w:spacing w:before="101" w:line="227" w:lineRule="auto"/>
        <w:ind w:left="326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第四章</w:t>
      </w:r>
      <w:r>
        <w:rPr>
          <w:rFonts w:ascii="黑体" w:hAnsi="黑体" w:eastAsia="黑体" w:cs="黑体"/>
          <w:spacing w:val="10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3"/>
          <w:sz w:val="31"/>
          <w:szCs w:val="31"/>
        </w:rPr>
        <w:t>监</w:t>
      </w:r>
      <w:r>
        <w:rPr>
          <w:rFonts w:ascii="黑体" w:hAnsi="黑体" w:eastAsia="黑体" w:cs="黑体"/>
          <w:spacing w:val="13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3"/>
          <w:sz w:val="31"/>
          <w:szCs w:val="31"/>
        </w:rPr>
        <w:t>管</w:t>
      </w:r>
    </w:p>
    <w:p w14:paraId="0AD05B93">
      <w:pPr>
        <w:spacing w:line="338" w:lineRule="auto"/>
        <w:rPr>
          <w:rFonts w:ascii="Arial"/>
          <w:sz w:val="21"/>
        </w:rPr>
      </w:pPr>
    </w:p>
    <w:p w14:paraId="20ED4A3C">
      <w:pPr>
        <w:spacing w:line="338" w:lineRule="auto"/>
        <w:rPr>
          <w:rFonts w:ascii="Arial"/>
          <w:sz w:val="21"/>
        </w:rPr>
      </w:pPr>
    </w:p>
    <w:p w14:paraId="624B556D">
      <w:pPr>
        <w:pStyle w:val="2"/>
        <w:spacing w:before="101" w:line="339" w:lineRule="auto"/>
        <w:ind w:left="15" w:firstLine="639"/>
        <w:jc w:val="both"/>
      </w:pPr>
      <w:r>
        <w:rPr>
          <w:rFonts w:ascii="黑体" w:hAnsi="黑体" w:eastAsia="黑体" w:cs="黑体"/>
          <w:spacing w:val="12"/>
        </w:rPr>
        <w:t xml:space="preserve">第二十二条  </w:t>
      </w:r>
      <w:r>
        <w:rPr>
          <w:spacing w:val="12"/>
        </w:rPr>
        <w:t>招标人应全面履行项目建设的管理职责，对</w:t>
      </w:r>
      <w:r>
        <w:rPr>
          <w:spacing w:val="14"/>
        </w:rPr>
        <w:t xml:space="preserve"> </w:t>
      </w:r>
      <w:r>
        <w:rPr>
          <w:spacing w:val="5"/>
        </w:rPr>
        <w:t>整个招标、定标过程和结果承担主体责任。要加</w:t>
      </w:r>
      <w:r>
        <w:rPr>
          <w:spacing w:val="4"/>
        </w:rPr>
        <w:t>强对招标公告、</w:t>
      </w:r>
      <w:r>
        <w:t xml:space="preserve"> </w:t>
      </w:r>
      <w:r>
        <w:rPr>
          <w:spacing w:val="13"/>
        </w:rPr>
        <w:t>资格预审文件、招标文件、评标、定标等招标投标</w:t>
      </w:r>
      <w:r>
        <w:rPr>
          <w:spacing w:val="12"/>
        </w:rPr>
        <w:t>事项的审查</w:t>
      </w:r>
      <w:r>
        <w:t xml:space="preserve"> </w:t>
      </w:r>
      <w:r>
        <w:rPr>
          <w:spacing w:val="13"/>
        </w:rPr>
        <w:t>管理，加强对派出的评标、定标代表的管理，加强</w:t>
      </w:r>
      <w:r>
        <w:rPr>
          <w:spacing w:val="12"/>
        </w:rPr>
        <w:t>对委托的代</w:t>
      </w:r>
      <w:r>
        <w:t xml:space="preserve"> </w:t>
      </w:r>
      <w:r>
        <w:rPr>
          <w:spacing w:val="6"/>
        </w:rPr>
        <w:t>理机构的管理。</w:t>
      </w:r>
    </w:p>
    <w:p w14:paraId="1A8D0E51">
      <w:pPr>
        <w:pStyle w:val="2"/>
        <w:spacing w:before="53" w:line="334" w:lineRule="auto"/>
        <w:ind w:left="18" w:right="95" w:firstLine="636"/>
        <w:jc w:val="both"/>
      </w:pPr>
      <w:r>
        <w:rPr>
          <w:rFonts w:ascii="黑体" w:hAnsi="黑体" w:eastAsia="黑体" w:cs="黑体"/>
          <w:spacing w:val="13"/>
        </w:rPr>
        <w:t xml:space="preserve">第二十三条  </w:t>
      </w:r>
      <w:r>
        <w:rPr>
          <w:spacing w:val="13"/>
        </w:rPr>
        <w:t>发改部门依法对实施</w:t>
      </w:r>
      <w:r>
        <w:rPr>
          <w:rFonts w:ascii="Times New Roman" w:hAnsi="Times New Roman" w:eastAsia="Times New Roman" w:cs="Times New Roman"/>
          <w:spacing w:val="13"/>
        </w:rPr>
        <w:t>“</w:t>
      </w:r>
      <w:r>
        <w:rPr>
          <w:spacing w:val="13"/>
        </w:rPr>
        <w:t>评定分离</w:t>
      </w:r>
      <w:r>
        <w:rPr>
          <w:rFonts w:ascii="Times New Roman" w:hAnsi="Times New Roman" w:eastAsia="Times New Roman" w:cs="Times New Roman"/>
          <w:spacing w:val="13"/>
        </w:rPr>
        <w:t>”</w:t>
      </w:r>
      <w:r>
        <w:rPr>
          <w:spacing w:val="13"/>
        </w:rPr>
        <w:t>的项目进行</w:t>
      </w:r>
      <w:r>
        <w:rPr>
          <w:spacing w:val="12"/>
        </w:rPr>
        <w:t xml:space="preserve"> </w:t>
      </w:r>
      <w:r>
        <w:rPr>
          <w:spacing w:val="3"/>
        </w:rPr>
        <w:t>综合监管，负责指导协调</w:t>
      </w:r>
      <w:r>
        <w:rPr>
          <w:rFonts w:ascii="Times New Roman" w:hAnsi="Times New Roman" w:eastAsia="Times New Roman" w:cs="Times New Roman"/>
          <w:spacing w:val="3"/>
        </w:rPr>
        <w:t>“</w:t>
      </w:r>
      <w:r>
        <w:rPr>
          <w:spacing w:val="3"/>
        </w:rPr>
        <w:t>评定分离</w:t>
      </w:r>
      <w:r>
        <w:rPr>
          <w:rFonts w:ascii="Times New Roman" w:hAnsi="Times New Roman" w:eastAsia="Times New Roman" w:cs="Times New Roman"/>
          <w:spacing w:val="3"/>
        </w:rPr>
        <w:t>”</w:t>
      </w:r>
      <w:r>
        <w:rPr>
          <w:spacing w:val="3"/>
        </w:rPr>
        <w:t>工作，制定</w:t>
      </w:r>
      <w:r>
        <w:rPr>
          <w:rFonts w:ascii="Times New Roman" w:hAnsi="Times New Roman" w:eastAsia="Times New Roman" w:cs="Times New Roman"/>
          <w:spacing w:val="3"/>
        </w:rPr>
        <w:t>“</w:t>
      </w:r>
      <w:r>
        <w:rPr>
          <w:spacing w:val="3"/>
        </w:rPr>
        <w:t>评定分离</w:t>
      </w:r>
      <w:r>
        <w:rPr>
          <w:rFonts w:ascii="Times New Roman" w:hAnsi="Times New Roman" w:eastAsia="Times New Roman" w:cs="Times New Roman"/>
          <w:spacing w:val="3"/>
        </w:rPr>
        <w:t>”</w:t>
      </w:r>
      <w:r>
        <w:rPr>
          <w:spacing w:val="3"/>
        </w:rPr>
        <w:t>配套</w:t>
      </w:r>
      <w:r>
        <w:rPr>
          <w:spacing w:val="13"/>
        </w:rPr>
        <w:t xml:space="preserve"> 指导规则和流程。行业主管部门按照职责分</w:t>
      </w:r>
      <w:r>
        <w:rPr>
          <w:spacing w:val="12"/>
        </w:rPr>
        <w:t>工负责受理、处理</w:t>
      </w:r>
    </w:p>
    <w:p w14:paraId="3B3C82BD">
      <w:pPr>
        <w:spacing w:line="334" w:lineRule="auto"/>
        <w:sectPr>
          <w:footerReference r:id="rId13" w:type="default"/>
          <w:pgSz w:w="11906" w:h="16839"/>
          <w:pgMar w:top="400" w:right="1491" w:bottom="1400" w:left="1584" w:header="0" w:footer="1147" w:gutter="0"/>
          <w:cols w:space="720" w:num="1"/>
        </w:sectPr>
      </w:pPr>
    </w:p>
    <w:p w14:paraId="68B3B5DE">
      <w:pPr>
        <w:spacing w:line="254" w:lineRule="auto"/>
        <w:rPr>
          <w:rFonts w:ascii="Arial"/>
          <w:sz w:val="21"/>
        </w:rPr>
      </w:pPr>
    </w:p>
    <w:p w14:paraId="3CB0FD69">
      <w:pPr>
        <w:spacing w:line="254" w:lineRule="auto"/>
        <w:rPr>
          <w:rFonts w:ascii="Arial"/>
          <w:sz w:val="21"/>
        </w:rPr>
      </w:pPr>
    </w:p>
    <w:p w14:paraId="0B82F436">
      <w:pPr>
        <w:spacing w:line="254" w:lineRule="auto"/>
        <w:rPr>
          <w:rFonts w:ascii="Arial"/>
          <w:sz w:val="21"/>
        </w:rPr>
      </w:pPr>
    </w:p>
    <w:p w14:paraId="244EBC2F">
      <w:pPr>
        <w:spacing w:line="254" w:lineRule="auto"/>
        <w:rPr>
          <w:rFonts w:ascii="Arial"/>
          <w:sz w:val="21"/>
        </w:rPr>
      </w:pPr>
    </w:p>
    <w:p w14:paraId="46B69B9D">
      <w:pPr>
        <w:spacing w:line="254" w:lineRule="auto"/>
        <w:rPr>
          <w:rFonts w:ascii="Arial"/>
          <w:sz w:val="21"/>
        </w:rPr>
      </w:pPr>
    </w:p>
    <w:p w14:paraId="004F9B00">
      <w:pPr>
        <w:spacing w:line="254" w:lineRule="auto"/>
        <w:rPr>
          <w:rFonts w:ascii="Arial"/>
          <w:sz w:val="21"/>
        </w:rPr>
      </w:pPr>
    </w:p>
    <w:p w14:paraId="1065F8F8">
      <w:pPr>
        <w:spacing w:line="255" w:lineRule="auto"/>
        <w:rPr>
          <w:rFonts w:ascii="Arial"/>
          <w:sz w:val="21"/>
        </w:rPr>
      </w:pPr>
    </w:p>
    <w:p w14:paraId="26E7150B">
      <w:pPr>
        <w:pStyle w:val="2"/>
        <w:spacing w:before="101" w:line="341" w:lineRule="auto"/>
        <w:ind w:left="1" w:right="81" w:firstLine="14"/>
        <w:jc w:val="both"/>
      </w:pPr>
      <w:r>
        <w:rPr>
          <w:spacing w:val="12"/>
        </w:rPr>
        <w:t>主管行业项目招投标活动中的投诉、举报，并作出调查处理决</w:t>
      </w:r>
      <w:r>
        <w:rPr>
          <w:spacing w:val="9"/>
        </w:rPr>
        <w:t xml:space="preserve"> </w:t>
      </w:r>
      <w:r>
        <w:rPr>
          <w:spacing w:val="13"/>
        </w:rPr>
        <w:t>定，并按照职责分工查处主管行业项目招投标过程中的</w:t>
      </w:r>
      <w:r>
        <w:rPr>
          <w:spacing w:val="12"/>
        </w:rPr>
        <w:t>借用资</w:t>
      </w:r>
      <w:r>
        <w:t xml:space="preserve"> </w:t>
      </w:r>
      <w:r>
        <w:rPr>
          <w:spacing w:val="10"/>
        </w:rPr>
        <w:t>质、</w:t>
      </w:r>
      <w:r>
        <w:rPr>
          <w:spacing w:val="-77"/>
        </w:rPr>
        <w:t xml:space="preserve"> </w:t>
      </w:r>
      <w:r>
        <w:rPr>
          <w:spacing w:val="10"/>
        </w:rPr>
        <w:t>串通投标、弄虚作假骗取中标、非法转包、违法分包等违</w:t>
      </w:r>
      <w:r>
        <w:t xml:space="preserve"> </w:t>
      </w:r>
      <w:r>
        <w:rPr>
          <w:spacing w:val="14"/>
        </w:rPr>
        <w:t>法行为。公共资源交易中心负责为</w:t>
      </w:r>
      <w:r>
        <w:rPr>
          <w:rFonts w:ascii="Times New Roman" w:hAnsi="Times New Roman" w:eastAsia="Times New Roman" w:cs="Times New Roman"/>
          <w:spacing w:val="14"/>
        </w:rPr>
        <w:t>“</w:t>
      </w:r>
      <w:r>
        <w:rPr>
          <w:spacing w:val="14"/>
        </w:rPr>
        <w:t>评定分</w:t>
      </w:r>
      <w:r>
        <w:rPr>
          <w:spacing w:val="13"/>
        </w:rPr>
        <w:t>离</w:t>
      </w:r>
      <w:r>
        <w:rPr>
          <w:rFonts w:ascii="Times New Roman" w:hAnsi="Times New Roman" w:eastAsia="Times New Roman" w:cs="Times New Roman"/>
          <w:spacing w:val="13"/>
        </w:rPr>
        <w:t>”</w:t>
      </w:r>
      <w:r>
        <w:rPr>
          <w:spacing w:val="13"/>
        </w:rPr>
        <w:t>提供评标和定标</w:t>
      </w:r>
      <w:r>
        <w:t xml:space="preserve"> </w:t>
      </w:r>
      <w:r>
        <w:rPr>
          <w:spacing w:val="7"/>
        </w:rPr>
        <w:t>场地、评标专家抽取、录音和录像等服务，协调完善与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spacing w:val="7"/>
        </w:rPr>
        <w:t>评定分</w:t>
      </w:r>
      <w:r>
        <w:rPr>
          <w:spacing w:val="17"/>
        </w:rPr>
        <w:t xml:space="preserve"> </w:t>
      </w:r>
      <w:r>
        <w:rPr>
          <w:spacing w:val="8"/>
        </w:rPr>
        <w:t>离</w:t>
      </w:r>
      <w:r>
        <w:rPr>
          <w:rFonts w:ascii="Times New Roman" w:hAnsi="Times New Roman" w:eastAsia="Times New Roman" w:cs="Times New Roman"/>
          <w:spacing w:val="8"/>
        </w:rPr>
        <w:t>”</w:t>
      </w:r>
      <w:r>
        <w:rPr>
          <w:spacing w:val="8"/>
        </w:rPr>
        <w:t>有关的电子交易程序，推进与已实行</w:t>
      </w:r>
      <w:r>
        <w:rPr>
          <w:rFonts w:ascii="Times New Roman" w:hAnsi="Times New Roman" w:eastAsia="Times New Roman" w:cs="Times New Roman"/>
          <w:spacing w:val="8"/>
        </w:rPr>
        <w:t>“</w:t>
      </w:r>
      <w:r>
        <w:rPr>
          <w:spacing w:val="8"/>
        </w:rPr>
        <w:t>评定分离</w:t>
      </w:r>
      <w:r>
        <w:rPr>
          <w:rFonts w:ascii="Times New Roman" w:hAnsi="Times New Roman" w:eastAsia="Times New Roman" w:cs="Times New Roman"/>
          <w:spacing w:val="8"/>
        </w:rPr>
        <w:t>”</w:t>
      </w:r>
      <w:r>
        <w:rPr>
          <w:spacing w:val="8"/>
        </w:rPr>
        <w:t>的地方开展</w:t>
      </w:r>
      <w:r>
        <w:rPr>
          <w:spacing w:val="13"/>
        </w:rPr>
        <w:t xml:space="preserve"> </w:t>
      </w:r>
      <w:r>
        <w:rPr>
          <w:spacing w:val="6"/>
        </w:rPr>
        <w:t>远程异地评标。</w:t>
      </w:r>
    </w:p>
    <w:p w14:paraId="7242A57E">
      <w:pPr>
        <w:pStyle w:val="2"/>
        <w:spacing w:before="53" w:line="339" w:lineRule="auto"/>
        <w:ind w:left="3" w:firstLine="639"/>
        <w:jc w:val="both"/>
      </w:pPr>
      <w:r>
        <w:rPr>
          <w:rFonts w:ascii="黑体" w:hAnsi="黑体" w:eastAsia="黑体" w:cs="黑体"/>
          <w:spacing w:val="12"/>
        </w:rPr>
        <w:t xml:space="preserve">第二十四条  </w:t>
      </w:r>
      <w:r>
        <w:rPr>
          <w:spacing w:val="12"/>
        </w:rPr>
        <w:t>招标人、投标人、招标代理机构、评标委员</w:t>
      </w:r>
      <w:r>
        <w:rPr>
          <w:spacing w:val="14"/>
        </w:rPr>
        <w:t xml:space="preserve"> </w:t>
      </w:r>
      <w:r>
        <w:rPr>
          <w:spacing w:val="13"/>
        </w:rPr>
        <w:t>会、定标委员会应当严格遵守工程招标投标的相关</w:t>
      </w:r>
      <w:r>
        <w:rPr>
          <w:spacing w:val="12"/>
        </w:rPr>
        <w:t>法律、法规</w:t>
      </w:r>
      <w:r>
        <w:t xml:space="preserve"> </w:t>
      </w:r>
      <w:r>
        <w:rPr>
          <w:spacing w:val="5"/>
        </w:rPr>
        <w:t>和规定，认真履行职责。</w:t>
      </w:r>
      <w:r>
        <w:rPr>
          <w:rFonts w:ascii="Times New Roman" w:hAnsi="Times New Roman" w:eastAsia="Times New Roman" w:cs="Times New Roman"/>
          <w:spacing w:val="5"/>
        </w:rPr>
        <w:t>“</w:t>
      </w:r>
      <w:r>
        <w:rPr>
          <w:spacing w:val="5"/>
        </w:rPr>
        <w:t>评定分离</w:t>
      </w:r>
      <w:r>
        <w:rPr>
          <w:rFonts w:ascii="Times New Roman" w:hAnsi="Times New Roman" w:eastAsia="Times New Roman" w:cs="Times New Roman"/>
          <w:spacing w:val="5"/>
        </w:rPr>
        <w:t>”</w:t>
      </w:r>
      <w:r>
        <w:rPr>
          <w:spacing w:val="5"/>
        </w:rPr>
        <w:t>实施中，存在违法违纪的，</w:t>
      </w:r>
      <w:r>
        <w:rPr>
          <w:spacing w:val="9"/>
        </w:rPr>
        <w:t xml:space="preserve"> </w:t>
      </w:r>
      <w:r>
        <w:rPr>
          <w:spacing w:val="13"/>
        </w:rPr>
        <w:t>按照有关规定移送纪检监察机关或者相关部门予以</w:t>
      </w:r>
      <w:r>
        <w:rPr>
          <w:spacing w:val="12"/>
        </w:rPr>
        <w:t>处理；涉嫌</w:t>
      </w:r>
      <w:r>
        <w:t xml:space="preserve"> </w:t>
      </w:r>
      <w:r>
        <w:rPr>
          <w:spacing w:val="8"/>
        </w:rPr>
        <w:t>犯罪的，依法移送司法机关追究刑事责任。</w:t>
      </w:r>
    </w:p>
    <w:p w14:paraId="67576715">
      <w:pPr>
        <w:pStyle w:val="2"/>
        <w:spacing w:before="47" w:line="334" w:lineRule="auto"/>
        <w:ind w:left="1" w:right="83" w:firstLine="642"/>
        <w:jc w:val="both"/>
      </w:pPr>
      <w:r>
        <w:rPr>
          <w:rFonts w:ascii="黑体" w:hAnsi="黑体" w:eastAsia="黑体" w:cs="黑体"/>
          <w:spacing w:val="12"/>
        </w:rPr>
        <w:t xml:space="preserve">第二十五条  </w:t>
      </w:r>
      <w:r>
        <w:rPr>
          <w:spacing w:val="12"/>
        </w:rPr>
        <w:t>项目的异议及投诉处理，严格按照《湖北省</w:t>
      </w:r>
      <w:r>
        <w:rPr>
          <w:spacing w:val="14"/>
        </w:rPr>
        <w:t xml:space="preserve"> </w:t>
      </w:r>
      <w:r>
        <w:rPr>
          <w:spacing w:val="6"/>
        </w:rPr>
        <w:t>公共资源招标投标投诉处理办法》</w:t>
      </w:r>
      <w:r>
        <w:rPr>
          <w:rFonts w:ascii="Times New Roman" w:hAnsi="Times New Roman" w:eastAsia="Times New Roman" w:cs="Times New Roman"/>
          <w:spacing w:val="6"/>
        </w:rPr>
        <w:t>(</w:t>
      </w:r>
      <w:r>
        <w:rPr>
          <w:spacing w:val="6"/>
        </w:rPr>
        <w:t>鄂公管委发〔</w:t>
      </w:r>
      <w:r>
        <w:rPr>
          <w:rFonts w:ascii="Times New Roman" w:hAnsi="Times New Roman" w:eastAsia="Times New Roman" w:cs="Times New Roman"/>
          <w:spacing w:val="6"/>
        </w:rPr>
        <w:t>2021</w:t>
      </w:r>
      <w:r>
        <w:rPr>
          <w:spacing w:val="6"/>
        </w:rPr>
        <w:t>〕</w:t>
      </w:r>
      <w:r>
        <w:rPr>
          <w:rFonts w:ascii="Times New Roman" w:hAnsi="Times New Roman" w:eastAsia="Times New Roman" w:cs="Times New Roman"/>
          <w:spacing w:val="6"/>
        </w:rPr>
        <w:t>7</w:t>
      </w:r>
      <w:r>
        <w:rPr>
          <w:rFonts w:ascii="Times New Roman" w:hAnsi="Times New Roman" w:eastAsia="Times New Roman" w:cs="Times New Roman"/>
          <w:spacing w:val="33"/>
          <w:w w:val="101"/>
        </w:rPr>
        <w:t xml:space="preserve"> </w:t>
      </w:r>
      <w:r>
        <w:rPr>
          <w:spacing w:val="6"/>
        </w:rPr>
        <w:t>号</w:t>
      </w:r>
      <w:r>
        <w:rPr>
          <w:rFonts w:ascii="Times New Roman" w:hAnsi="Times New Roman" w:eastAsia="Times New Roman" w:cs="Times New Roman"/>
          <w:spacing w:val="6"/>
        </w:rPr>
        <w:t>)</w:t>
      </w:r>
      <w:r>
        <w:rPr>
          <w:spacing w:val="6"/>
        </w:rPr>
        <w:t>的</w:t>
      </w:r>
      <w:r>
        <w:t xml:space="preserve"> </w:t>
      </w:r>
      <w:r>
        <w:rPr>
          <w:spacing w:val="13"/>
        </w:rPr>
        <w:t>规定执行。项目的举报处理，严格按照《湖北省公共资</w:t>
      </w:r>
      <w:r>
        <w:rPr>
          <w:spacing w:val="12"/>
        </w:rPr>
        <w:t>源招标</w:t>
      </w:r>
      <w:r>
        <w:t xml:space="preserve"> </w:t>
      </w:r>
      <w:r>
        <w:rPr>
          <w:spacing w:val="7"/>
        </w:rPr>
        <w:t>投标举报处理办法》</w:t>
      </w:r>
      <w:r>
        <w:rPr>
          <w:rFonts w:ascii="Times New Roman" w:hAnsi="Times New Roman" w:eastAsia="Times New Roman" w:cs="Times New Roman"/>
          <w:spacing w:val="7"/>
        </w:rPr>
        <w:t>(</w:t>
      </w:r>
      <w:r>
        <w:rPr>
          <w:spacing w:val="7"/>
        </w:rPr>
        <w:t>鄂公管文〔</w:t>
      </w:r>
      <w:r>
        <w:rPr>
          <w:rFonts w:ascii="Times New Roman" w:hAnsi="Times New Roman" w:eastAsia="Times New Roman" w:cs="Times New Roman"/>
          <w:spacing w:val="7"/>
        </w:rPr>
        <w:t>2022</w:t>
      </w:r>
      <w:r>
        <w:rPr>
          <w:spacing w:val="7"/>
        </w:rPr>
        <w:t>〕</w:t>
      </w:r>
      <w:r>
        <w:rPr>
          <w:rFonts w:ascii="Times New Roman" w:hAnsi="Times New Roman" w:eastAsia="Times New Roman" w:cs="Times New Roman"/>
          <w:spacing w:val="7"/>
        </w:rPr>
        <w:t>22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7"/>
        </w:rPr>
        <w:t>号</w:t>
      </w:r>
      <w:r>
        <w:rPr>
          <w:rFonts w:ascii="Times New Roman" w:hAnsi="Times New Roman" w:eastAsia="Times New Roman" w:cs="Times New Roman"/>
          <w:spacing w:val="7"/>
        </w:rPr>
        <w:t>)</w:t>
      </w:r>
      <w:r>
        <w:rPr>
          <w:spacing w:val="7"/>
        </w:rPr>
        <w:t>的规定</w:t>
      </w:r>
      <w:r>
        <w:rPr>
          <w:spacing w:val="6"/>
        </w:rPr>
        <w:t>执行。</w:t>
      </w:r>
    </w:p>
    <w:p w14:paraId="1601670A">
      <w:pPr>
        <w:spacing w:line="277" w:lineRule="auto"/>
        <w:rPr>
          <w:rFonts w:ascii="Arial"/>
          <w:sz w:val="21"/>
        </w:rPr>
      </w:pPr>
    </w:p>
    <w:p w14:paraId="3FC7EF16">
      <w:pPr>
        <w:spacing w:line="278" w:lineRule="auto"/>
        <w:rPr>
          <w:rFonts w:ascii="Arial"/>
          <w:sz w:val="21"/>
        </w:rPr>
      </w:pPr>
    </w:p>
    <w:p w14:paraId="50215319">
      <w:pPr>
        <w:spacing w:before="101" w:line="227" w:lineRule="auto"/>
        <w:ind w:left="32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第五章</w:t>
      </w:r>
      <w:r>
        <w:rPr>
          <w:rFonts w:ascii="黑体" w:hAnsi="黑体" w:eastAsia="黑体" w:cs="黑体"/>
          <w:spacing w:val="22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2"/>
          <w:sz w:val="31"/>
          <w:szCs w:val="31"/>
        </w:rPr>
        <w:t>附</w:t>
      </w:r>
      <w:r>
        <w:rPr>
          <w:rFonts w:ascii="黑体" w:hAnsi="黑体" w:eastAsia="黑体" w:cs="黑体"/>
          <w:spacing w:val="11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2"/>
          <w:sz w:val="31"/>
          <w:szCs w:val="31"/>
        </w:rPr>
        <w:t>则</w:t>
      </w:r>
    </w:p>
    <w:p w14:paraId="110E59DD">
      <w:pPr>
        <w:spacing w:line="335" w:lineRule="auto"/>
        <w:rPr>
          <w:rFonts w:ascii="Arial"/>
          <w:sz w:val="21"/>
        </w:rPr>
      </w:pPr>
    </w:p>
    <w:p w14:paraId="5C9F91A0">
      <w:pPr>
        <w:spacing w:line="336" w:lineRule="auto"/>
        <w:rPr>
          <w:rFonts w:ascii="Arial"/>
          <w:sz w:val="21"/>
        </w:rPr>
      </w:pPr>
    </w:p>
    <w:p w14:paraId="4720BEBE">
      <w:pPr>
        <w:pStyle w:val="2"/>
        <w:spacing w:before="101" w:line="335" w:lineRule="auto"/>
        <w:ind w:right="83" w:firstLine="643"/>
        <w:jc w:val="both"/>
      </w:pPr>
      <w:r>
        <w:rPr>
          <w:rFonts w:ascii="黑体" w:hAnsi="黑体" w:eastAsia="黑体" w:cs="黑体"/>
          <w:spacing w:val="12"/>
        </w:rPr>
        <w:t xml:space="preserve">第二十六条  </w:t>
      </w:r>
      <w:r>
        <w:rPr>
          <w:spacing w:val="12"/>
        </w:rPr>
        <w:t>本办法由随州市发展和改革委员会会同随州</w:t>
      </w:r>
      <w:r>
        <w:rPr>
          <w:spacing w:val="14"/>
        </w:rPr>
        <w:t xml:space="preserve"> </w:t>
      </w:r>
      <w:r>
        <w:rPr>
          <w:spacing w:val="13"/>
        </w:rPr>
        <w:t>市自然资源和城乡建设局、随州市住房和城市更新局、随州市</w:t>
      </w:r>
      <w:r>
        <w:t xml:space="preserve"> </w:t>
      </w:r>
      <w:r>
        <w:rPr>
          <w:spacing w:val="10"/>
        </w:rPr>
        <w:t>城市管理执法委员会、随州市公共资源交易中心（</w:t>
      </w:r>
      <w:r>
        <w:rPr>
          <w:spacing w:val="-74"/>
        </w:rPr>
        <w:t xml:space="preserve"> </w:t>
      </w:r>
      <w:r>
        <w:rPr>
          <w:spacing w:val="10"/>
        </w:rPr>
        <w:t>随州市政府</w:t>
      </w:r>
    </w:p>
    <w:p w14:paraId="55AD70DE">
      <w:pPr>
        <w:spacing w:line="335" w:lineRule="auto"/>
        <w:sectPr>
          <w:footerReference r:id="rId14" w:type="default"/>
          <w:pgSz w:w="11906" w:h="16839"/>
          <w:pgMar w:top="400" w:right="1504" w:bottom="1400" w:left="1596" w:header="0" w:footer="1147" w:gutter="0"/>
          <w:cols w:space="720" w:num="1"/>
        </w:sectPr>
      </w:pPr>
    </w:p>
    <w:p w14:paraId="15C9262E">
      <w:pPr>
        <w:spacing w:line="254" w:lineRule="auto"/>
        <w:rPr>
          <w:rFonts w:ascii="Arial"/>
          <w:sz w:val="21"/>
        </w:rPr>
      </w:pPr>
    </w:p>
    <w:p w14:paraId="3595F03C">
      <w:pPr>
        <w:spacing w:line="254" w:lineRule="auto"/>
        <w:rPr>
          <w:rFonts w:ascii="Arial"/>
          <w:sz w:val="21"/>
        </w:rPr>
      </w:pPr>
    </w:p>
    <w:p w14:paraId="5860095D">
      <w:pPr>
        <w:spacing w:line="254" w:lineRule="auto"/>
        <w:rPr>
          <w:rFonts w:ascii="Arial"/>
          <w:sz w:val="21"/>
        </w:rPr>
      </w:pPr>
    </w:p>
    <w:p w14:paraId="6243FCC6">
      <w:pPr>
        <w:spacing w:line="254" w:lineRule="auto"/>
        <w:rPr>
          <w:rFonts w:ascii="Arial"/>
          <w:sz w:val="21"/>
        </w:rPr>
      </w:pPr>
    </w:p>
    <w:p w14:paraId="6F59F521">
      <w:pPr>
        <w:spacing w:line="254" w:lineRule="auto"/>
        <w:rPr>
          <w:rFonts w:ascii="Arial"/>
          <w:sz w:val="21"/>
        </w:rPr>
      </w:pPr>
    </w:p>
    <w:p w14:paraId="0C9C47B6">
      <w:pPr>
        <w:spacing w:line="254" w:lineRule="auto"/>
        <w:rPr>
          <w:rFonts w:ascii="Arial"/>
          <w:sz w:val="21"/>
        </w:rPr>
      </w:pPr>
    </w:p>
    <w:p w14:paraId="13B562F7">
      <w:pPr>
        <w:spacing w:line="254" w:lineRule="auto"/>
        <w:rPr>
          <w:rFonts w:ascii="Arial"/>
          <w:sz w:val="21"/>
        </w:rPr>
      </w:pPr>
    </w:p>
    <w:p w14:paraId="4FA6CDAE">
      <w:pPr>
        <w:pStyle w:val="2"/>
        <w:spacing w:before="100" w:line="222" w:lineRule="auto"/>
        <w:ind w:left="14"/>
      </w:pPr>
      <w:r>
        <w:rPr>
          <w:spacing w:val="7"/>
        </w:rPr>
        <w:t>采购中心）负责解释。</w:t>
      </w:r>
    </w:p>
    <w:p w14:paraId="1A682DE8">
      <w:pPr>
        <w:pStyle w:val="2"/>
        <w:spacing w:before="205" w:line="340" w:lineRule="auto"/>
        <w:ind w:left="17" w:firstLine="638"/>
        <w:jc w:val="both"/>
      </w:pPr>
      <w:r>
        <w:rPr>
          <w:rFonts w:ascii="黑体" w:hAnsi="黑体" w:eastAsia="黑体" w:cs="黑体"/>
          <w:spacing w:val="3"/>
        </w:rPr>
        <w:t xml:space="preserve">第二十七条  </w:t>
      </w:r>
      <w:r>
        <w:rPr>
          <w:spacing w:val="3"/>
        </w:rPr>
        <w:t>本办法自</w:t>
      </w:r>
      <w:r>
        <w:rPr>
          <w:rFonts w:ascii="Times New Roman" w:hAnsi="Times New Roman" w:eastAsia="Times New Roman" w:cs="Times New Roman"/>
          <w:spacing w:val="3"/>
        </w:rPr>
        <w:t xml:space="preserve">2025 </w:t>
      </w:r>
      <w:r>
        <w:rPr>
          <w:spacing w:val="3"/>
        </w:rPr>
        <w:t>年</w:t>
      </w:r>
      <w:r>
        <w:rPr>
          <w:spacing w:val="-25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</w:t>
      </w:r>
      <w:r>
        <w:rPr>
          <w:rFonts w:ascii="Times New Roman" w:hAnsi="Times New Roman" w:eastAsia="Times New Roman" w:cs="Times New Roman"/>
          <w:spacing w:val="31"/>
          <w:w w:val="101"/>
        </w:rPr>
        <w:t xml:space="preserve"> </w:t>
      </w:r>
      <w:r>
        <w:rPr>
          <w:spacing w:val="3"/>
        </w:rPr>
        <w:t>月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 xml:space="preserve">1  </w:t>
      </w:r>
      <w:r>
        <w:rPr>
          <w:spacing w:val="3"/>
        </w:rPr>
        <w:t>日起施行，有效期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5</w:t>
      </w:r>
      <w:r>
        <w:rPr>
          <w:rFonts w:ascii="Times New Roman" w:hAnsi="Times New Roman" w:eastAsia="Times New Roman" w:cs="Times New Roman"/>
        </w:rPr>
        <w:t xml:space="preserve">  </w:t>
      </w:r>
      <w:r>
        <w:rPr>
          <w:spacing w:val="7"/>
        </w:rPr>
        <w:t>年。《随州市本级房屋建筑和市政基础设施工程招标投标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spacing w:val="7"/>
        </w:rPr>
        <w:t>评定</w:t>
      </w:r>
      <w:r>
        <w:rPr>
          <w:spacing w:val="11"/>
        </w:rPr>
        <w:t xml:space="preserve"> </w:t>
      </w:r>
      <w:r>
        <w:rPr>
          <w:spacing w:val="-5"/>
        </w:rPr>
        <w:t>分离</w:t>
      </w:r>
      <w:r>
        <w:rPr>
          <w:rFonts w:ascii="Times New Roman" w:hAnsi="Times New Roman" w:eastAsia="Times New Roman" w:cs="Times New Roman"/>
          <w:spacing w:val="-5"/>
        </w:rPr>
        <w:t>”</w:t>
      </w:r>
      <w:r>
        <w:rPr>
          <w:spacing w:val="-5"/>
        </w:rPr>
        <w:t>改革实施办法</w:t>
      </w:r>
      <w:r>
        <w:rPr>
          <w:rFonts w:ascii="Times New Roman" w:hAnsi="Times New Roman" w:eastAsia="Times New Roman" w:cs="Times New Roman"/>
          <w:spacing w:val="-5"/>
        </w:rPr>
        <w:t>(</w:t>
      </w:r>
      <w:r>
        <w:rPr>
          <w:spacing w:val="-5"/>
        </w:rPr>
        <w:t>试行</w:t>
      </w:r>
      <w:r>
        <w:rPr>
          <w:rFonts w:ascii="Times New Roman" w:hAnsi="Times New Roman" w:eastAsia="Times New Roman" w:cs="Times New Roman"/>
          <w:spacing w:val="-5"/>
        </w:rPr>
        <w:t>)</w:t>
      </w:r>
      <w:r>
        <w:rPr>
          <w:spacing w:val="-5"/>
        </w:rPr>
        <w:t>》（随公管文〔</w:t>
      </w:r>
      <w:r>
        <w:rPr>
          <w:rFonts w:ascii="Times New Roman" w:hAnsi="Times New Roman" w:eastAsia="Times New Roman" w:cs="Times New Roman"/>
          <w:spacing w:val="-5"/>
        </w:rPr>
        <w:t>2022</w:t>
      </w:r>
      <w:r>
        <w:rPr>
          <w:spacing w:val="-5"/>
        </w:rPr>
        <w:t>〕</w:t>
      </w:r>
      <w:r>
        <w:rPr>
          <w:rFonts w:ascii="Times New Roman" w:hAnsi="Times New Roman" w:eastAsia="Times New Roman" w:cs="Times New Roman"/>
          <w:spacing w:val="-5"/>
        </w:rPr>
        <w:t>2</w:t>
      </w:r>
      <w:r>
        <w:rPr>
          <w:rFonts w:ascii="Times New Roman" w:hAnsi="Times New Roman" w:eastAsia="Times New Roman" w:cs="Times New Roman"/>
          <w:spacing w:val="29"/>
          <w:w w:val="101"/>
        </w:rPr>
        <w:t xml:space="preserve"> </w:t>
      </w:r>
      <w:r>
        <w:rPr>
          <w:spacing w:val="-5"/>
        </w:rPr>
        <w:t>号）</w:t>
      </w:r>
      <w:r>
        <w:rPr>
          <w:spacing w:val="-6"/>
        </w:rPr>
        <w:t>同时废止。</w:t>
      </w:r>
    </w:p>
    <w:p w14:paraId="760FB04A">
      <w:pPr>
        <w:spacing w:line="253" w:lineRule="auto"/>
        <w:rPr>
          <w:rFonts w:ascii="Arial"/>
          <w:sz w:val="21"/>
        </w:rPr>
      </w:pPr>
    </w:p>
    <w:p w14:paraId="49E41D7B">
      <w:pPr>
        <w:spacing w:line="254" w:lineRule="auto"/>
        <w:rPr>
          <w:rFonts w:ascii="Arial"/>
          <w:sz w:val="21"/>
        </w:rPr>
      </w:pPr>
    </w:p>
    <w:p w14:paraId="0B6713CE">
      <w:pPr>
        <w:pStyle w:val="2"/>
        <w:spacing w:before="100" w:line="222" w:lineRule="auto"/>
        <w:ind w:left="679"/>
      </w:pPr>
      <w:r>
        <w:rPr>
          <w:spacing w:val="4"/>
        </w:rPr>
        <w:t>附件：</w:t>
      </w:r>
      <w:r>
        <w:rPr>
          <w:rFonts w:ascii="Times New Roman" w:hAnsi="Times New Roman" w:eastAsia="Times New Roman" w:cs="Times New Roman"/>
          <w:spacing w:val="4"/>
        </w:rPr>
        <w:t xml:space="preserve">1.  </w:t>
      </w:r>
      <w:r>
        <w:rPr>
          <w:spacing w:val="4"/>
        </w:rPr>
        <w:t>招标文件应当载明的主要内</w:t>
      </w:r>
      <w:r>
        <w:rPr>
          <w:spacing w:val="3"/>
        </w:rPr>
        <w:t>容（</w:t>
      </w:r>
      <w:r>
        <w:rPr>
          <w:spacing w:val="-77"/>
        </w:rPr>
        <w:t xml:space="preserve"> </w:t>
      </w:r>
      <w:r>
        <w:rPr>
          <w:spacing w:val="3"/>
        </w:rPr>
        <w:t>示例）</w:t>
      </w:r>
    </w:p>
    <w:p w14:paraId="2C4176F4">
      <w:pPr>
        <w:pStyle w:val="2"/>
        <w:spacing w:before="205" w:line="222" w:lineRule="auto"/>
        <w:ind w:left="1609"/>
      </w:pPr>
      <w:r>
        <w:rPr>
          <w:rFonts w:ascii="Times New Roman" w:hAnsi="Times New Roman" w:eastAsia="Times New Roman" w:cs="Times New Roman"/>
          <w:spacing w:val="4"/>
        </w:rPr>
        <w:t xml:space="preserve">2.  </w:t>
      </w:r>
      <w:r>
        <w:rPr>
          <w:spacing w:val="4"/>
        </w:rPr>
        <w:t>定标委员会组建情况登记表（</w:t>
      </w:r>
      <w:r>
        <w:rPr>
          <w:spacing w:val="-76"/>
        </w:rPr>
        <w:t xml:space="preserve"> </w:t>
      </w:r>
      <w:r>
        <w:rPr>
          <w:spacing w:val="4"/>
        </w:rPr>
        <w:t>示例）</w:t>
      </w:r>
    </w:p>
    <w:p w14:paraId="12292E9A">
      <w:pPr>
        <w:pStyle w:val="2"/>
        <w:spacing w:before="208" w:line="222" w:lineRule="auto"/>
        <w:ind w:left="1616"/>
      </w:pPr>
      <w:r>
        <w:rPr>
          <w:rFonts w:ascii="Times New Roman" w:hAnsi="Times New Roman" w:eastAsia="Times New Roman" w:cs="Times New Roman"/>
          <w:spacing w:val="2"/>
        </w:rPr>
        <w:t xml:space="preserve">3.  </w:t>
      </w:r>
      <w:r>
        <w:rPr>
          <w:spacing w:val="2"/>
        </w:rPr>
        <w:t>定标会议主要议程（</w:t>
      </w:r>
      <w:r>
        <w:rPr>
          <w:spacing w:val="-73"/>
        </w:rPr>
        <w:t xml:space="preserve"> </w:t>
      </w:r>
      <w:r>
        <w:rPr>
          <w:spacing w:val="2"/>
        </w:rPr>
        <w:t>示例）</w:t>
      </w:r>
    </w:p>
    <w:p w14:paraId="3E3C5BC0">
      <w:pPr>
        <w:pStyle w:val="2"/>
        <w:spacing w:before="208" w:line="223" w:lineRule="auto"/>
        <w:ind w:left="1608"/>
      </w:pPr>
      <w:r>
        <w:rPr>
          <w:rFonts w:ascii="Times New Roman" w:hAnsi="Times New Roman" w:eastAsia="Times New Roman" w:cs="Times New Roman"/>
          <w:spacing w:val="3"/>
        </w:rPr>
        <w:t xml:space="preserve">4.  </w:t>
      </w:r>
      <w:r>
        <w:rPr>
          <w:spacing w:val="3"/>
        </w:rPr>
        <w:t>承诺书（</w:t>
      </w:r>
      <w:r>
        <w:rPr>
          <w:spacing w:val="-79"/>
        </w:rPr>
        <w:t xml:space="preserve"> </w:t>
      </w:r>
      <w:r>
        <w:rPr>
          <w:spacing w:val="3"/>
        </w:rPr>
        <w:t>示例）</w:t>
      </w:r>
    </w:p>
    <w:p w14:paraId="1EB230F1">
      <w:pPr>
        <w:pStyle w:val="2"/>
        <w:spacing w:before="204" w:line="222" w:lineRule="auto"/>
        <w:ind w:left="1618"/>
      </w:pPr>
      <w:r>
        <w:rPr>
          <w:rFonts w:ascii="Times New Roman" w:hAnsi="Times New Roman" w:eastAsia="Times New Roman" w:cs="Times New Roman"/>
          <w:spacing w:val="2"/>
        </w:rPr>
        <w:t xml:space="preserve">5.  </w:t>
      </w:r>
      <w:r>
        <w:rPr>
          <w:spacing w:val="2"/>
        </w:rPr>
        <w:t>定标报告（</w:t>
      </w:r>
      <w:r>
        <w:rPr>
          <w:spacing w:val="-71"/>
        </w:rPr>
        <w:t xml:space="preserve"> </w:t>
      </w:r>
      <w:r>
        <w:rPr>
          <w:spacing w:val="2"/>
        </w:rPr>
        <w:t>示例）</w:t>
      </w:r>
    </w:p>
    <w:p w14:paraId="766F0A34">
      <w:pPr>
        <w:spacing w:line="222" w:lineRule="auto"/>
        <w:sectPr>
          <w:footerReference r:id="rId15" w:type="default"/>
          <w:pgSz w:w="11906" w:h="16839"/>
          <w:pgMar w:top="400" w:right="1497" w:bottom="1400" w:left="1584" w:header="0" w:footer="1147" w:gutter="0"/>
          <w:cols w:space="720" w:num="1"/>
        </w:sectPr>
      </w:pPr>
    </w:p>
    <w:p w14:paraId="55A8B4ED">
      <w:pPr>
        <w:spacing w:line="261" w:lineRule="auto"/>
        <w:rPr>
          <w:rFonts w:ascii="Arial"/>
          <w:sz w:val="21"/>
        </w:rPr>
      </w:pPr>
    </w:p>
    <w:p w14:paraId="504E2F97">
      <w:pPr>
        <w:spacing w:line="261" w:lineRule="auto"/>
        <w:rPr>
          <w:rFonts w:ascii="Arial"/>
          <w:sz w:val="21"/>
        </w:rPr>
      </w:pPr>
    </w:p>
    <w:p w14:paraId="167E8791">
      <w:pPr>
        <w:spacing w:line="261" w:lineRule="auto"/>
        <w:rPr>
          <w:rFonts w:ascii="Arial"/>
          <w:sz w:val="21"/>
        </w:rPr>
      </w:pPr>
    </w:p>
    <w:p w14:paraId="54B46E3C">
      <w:pPr>
        <w:spacing w:line="261" w:lineRule="auto"/>
        <w:rPr>
          <w:rFonts w:ascii="Arial"/>
          <w:sz w:val="21"/>
        </w:rPr>
      </w:pPr>
    </w:p>
    <w:p w14:paraId="538F1005">
      <w:pPr>
        <w:spacing w:line="261" w:lineRule="auto"/>
        <w:rPr>
          <w:rFonts w:ascii="Arial"/>
          <w:sz w:val="21"/>
        </w:rPr>
      </w:pPr>
    </w:p>
    <w:p w14:paraId="023F1C15">
      <w:pPr>
        <w:spacing w:line="261" w:lineRule="auto"/>
        <w:rPr>
          <w:rFonts w:ascii="Arial"/>
          <w:sz w:val="21"/>
        </w:rPr>
      </w:pPr>
    </w:p>
    <w:p w14:paraId="51B94F8D">
      <w:pPr>
        <w:spacing w:line="261" w:lineRule="auto"/>
        <w:rPr>
          <w:rFonts w:ascii="Arial"/>
          <w:sz w:val="21"/>
        </w:rPr>
      </w:pPr>
    </w:p>
    <w:p w14:paraId="25D9CAEF">
      <w:pPr>
        <w:spacing w:before="133" w:line="185" w:lineRule="auto"/>
        <w:ind w:left="13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微软雅黑" w:hAnsi="微软雅黑" w:eastAsia="微软雅黑" w:cs="微软雅黑"/>
          <w:spacing w:val="-1"/>
          <w:sz w:val="31"/>
          <w:szCs w:val="31"/>
        </w:rPr>
        <w:t>附件</w:t>
      </w:r>
      <w:r>
        <w:rPr>
          <w:rFonts w:ascii="微软雅黑" w:hAnsi="微软雅黑" w:eastAsia="微软雅黑" w:cs="微软雅黑"/>
          <w:spacing w:val="2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</w:t>
      </w:r>
    </w:p>
    <w:p w14:paraId="4314C4E3">
      <w:pPr>
        <w:spacing w:line="294" w:lineRule="auto"/>
        <w:rPr>
          <w:rFonts w:ascii="Arial"/>
          <w:sz w:val="21"/>
        </w:rPr>
      </w:pPr>
    </w:p>
    <w:p w14:paraId="1A411036">
      <w:pPr>
        <w:spacing w:line="295" w:lineRule="auto"/>
        <w:rPr>
          <w:rFonts w:ascii="Arial"/>
          <w:sz w:val="21"/>
        </w:rPr>
      </w:pPr>
    </w:p>
    <w:p w14:paraId="1FCB16FE">
      <w:pPr>
        <w:spacing w:before="130" w:line="279" w:lineRule="auto"/>
        <w:ind w:left="127" w:right="1529" w:firstLine="1362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4"/>
          <w:sz w:val="40"/>
          <w:szCs w:val="40"/>
        </w:rPr>
        <w:t>招标文件应当载明的内容（示例）</w:t>
      </w:r>
      <w:r>
        <w:rPr>
          <w:rFonts w:ascii="宋体" w:hAnsi="宋体" w:eastAsia="宋体" w:cs="宋体"/>
          <w:spacing w:val="5"/>
          <w:sz w:val="40"/>
          <w:szCs w:val="40"/>
        </w:rPr>
        <w:t xml:space="preserve"> </w:t>
      </w:r>
      <w:r>
        <w:rPr>
          <w:rFonts w:ascii="宋体" w:hAnsi="宋体" w:eastAsia="宋体" w:cs="宋体"/>
          <w:spacing w:val="-2"/>
          <w:sz w:val="30"/>
          <w:szCs w:val="30"/>
        </w:rPr>
        <w:t>投标人须知前附表</w:t>
      </w:r>
    </w:p>
    <w:tbl>
      <w:tblPr>
        <w:tblStyle w:val="5"/>
        <w:tblW w:w="90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3"/>
        <w:gridCol w:w="2258"/>
        <w:gridCol w:w="5592"/>
      </w:tblGrid>
      <w:tr w14:paraId="368007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1173" w:type="dxa"/>
            <w:vAlign w:val="top"/>
          </w:tcPr>
          <w:p w14:paraId="4517ACDC">
            <w:pPr>
              <w:pStyle w:val="6"/>
              <w:spacing w:line="315" w:lineRule="auto"/>
            </w:pPr>
          </w:p>
          <w:p w14:paraId="1892C889">
            <w:pPr>
              <w:spacing w:before="86" w:line="189" w:lineRule="auto"/>
              <w:ind w:left="27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条款号</w:t>
            </w:r>
          </w:p>
        </w:tc>
        <w:tc>
          <w:tcPr>
            <w:tcW w:w="2258" w:type="dxa"/>
            <w:vAlign w:val="top"/>
          </w:tcPr>
          <w:p w14:paraId="48D70020">
            <w:pPr>
              <w:pStyle w:val="6"/>
              <w:spacing w:line="315" w:lineRule="auto"/>
            </w:pPr>
          </w:p>
          <w:p w14:paraId="7EC2A7DC">
            <w:pPr>
              <w:spacing w:before="86" w:line="189" w:lineRule="auto"/>
              <w:ind w:left="54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条</w:t>
            </w:r>
            <w:r>
              <w:rPr>
                <w:rFonts w:ascii="微软雅黑" w:hAnsi="微软雅黑" w:eastAsia="微软雅黑" w:cs="微软雅黑"/>
                <w:spacing w:val="52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款</w:t>
            </w:r>
            <w:r>
              <w:rPr>
                <w:rFonts w:ascii="微软雅黑" w:hAnsi="微软雅黑" w:eastAsia="微软雅黑" w:cs="微软雅黑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名</w:t>
            </w:r>
            <w:r>
              <w:rPr>
                <w:rFonts w:ascii="微软雅黑" w:hAnsi="微软雅黑" w:eastAsia="微软雅黑" w:cs="微软雅黑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>称</w:t>
            </w:r>
          </w:p>
        </w:tc>
        <w:tc>
          <w:tcPr>
            <w:tcW w:w="5592" w:type="dxa"/>
            <w:vAlign w:val="top"/>
          </w:tcPr>
          <w:p w14:paraId="1148B884">
            <w:pPr>
              <w:pStyle w:val="6"/>
              <w:spacing w:line="315" w:lineRule="auto"/>
            </w:pPr>
          </w:p>
          <w:p w14:paraId="7FF0110F">
            <w:pPr>
              <w:spacing w:before="86" w:line="189" w:lineRule="auto"/>
              <w:ind w:left="205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编</w:t>
            </w:r>
            <w:r>
              <w:rPr>
                <w:rFonts w:ascii="微软雅黑" w:hAnsi="微软雅黑" w:eastAsia="微软雅黑" w:cs="微软雅黑"/>
                <w:spacing w:val="11"/>
                <w:sz w:val="20"/>
                <w:szCs w:val="20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列</w:t>
            </w:r>
            <w:r>
              <w:rPr>
                <w:rFonts w:ascii="微软雅黑" w:hAnsi="微软雅黑" w:eastAsia="微软雅黑" w:cs="微软雅黑"/>
                <w:spacing w:val="18"/>
                <w:w w:val="101"/>
                <w:sz w:val="20"/>
                <w:szCs w:val="20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内</w:t>
            </w:r>
            <w:r>
              <w:rPr>
                <w:rFonts w:ascii="微软雅黑" w:hAnsi="微软雅黑" w:eastAsia="微软雅黑" w:cs="微软雅黑"/>
                <w:spacing w:val="12"/>
                <w:sz w:val="20"/>
                <w:szCs w:val="20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容</w:t>
            </w:r>
          </w:p>
        </w:tc>
      </w:tr>
      <w:tr w14:paraId="58605E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173" w:type="dxa"/>
            <w:vAlign w:val="top"/>
          </w:tcPr>
          <w:p w14:paraId="0F475AFD">
            <w:pPr>
              <w:pStyle w:val="6"/>
              <w:spacing w:line="405" w:lineRule="auto"/>
            </w:pPr>
          </w:p>
          <w:p w14:paraId="2D7B95A8">
            <w:pPr>
              <w:spacing w:before="58" w:line="63" w:lineRule="exact"/>
              <w:ind w:left="39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1"/>
                <w:sz w:val="20"/>
                <w:szCs w:val="20"/>
              </w:rPr>
              <w:t>……</w:t>
            </w:r>
          </w:p>
        </w:tc>
        <w:tc>
          <w:tcPr>
            <w:tcW w:w="2258" w:type="dxa"/>
            <w:vAlign w:val="top"/>
          </w:tcPr>
          <w:p w14:paraId="1B6BA62B">
            <w:pPr>
              <w:pStyle w:val="6"/>
              <w:spacing w:line="405" w:lineRule="auto"/>
            </w:pPr>
          </w:p>
          <w:p w14:paraId="1FD16FA4">
            <w:pPr>
              <w:spacing w:before="58" w:line="63" w:lineRule="exact"/>
              <w:ind w:left="93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1"/>
                <w:sz w:val="20"/>
                <w:szCs w:val="20"/>
              </w:rPr>
              <w:t>……</w:t>
            </w:r>
          </w:p>
        </w:tc>
        <w:tc>
          <w:tcPr>
            <w:tcW w:w="5592" w:type="dxa"/>
            <w:vAlign w:val="top"/>
          </w:tcPr>
          <w:p w14:paraId="64EB6C4E">
            <w:pPr>
              <w:pStyle w:val="6"/>
              <w:spacing w:line="405" w:lineRule="auto"/>
            </w:pPr>
          </w:p>
          <w:p w14:paraId="6A1C1D07">
            <w:pPr>
              <w:spacing w:before="58" w:line="63" w:lineRule="exact"/>
              <w:ind w:left="26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1"/>
                <w:sz w:val="20"/>
                <w:szCs w:val="20"/>
              </w:rPr>
              <w:t>……</w:t>
            </w:r>
          </w:p>
        </w:tc>
      </w:tr>
      <w:tr w14:paraId="3F58D9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4" w:hRule="atLeast"/>
        </w:trPr>
        <w:tc>
          <w:tcPr>
            <w:tcW w:w="1173" w:type="dxa"/>
            <w:vAlign w:val="top"/>
          </w:tcPr>
          <w:p w14:paraId="74F2E38C">
            <w:pPr>
              <w:pStyle w:val="6"/>
              <w:spacing w:line="290" w:lineRule="auto"/>
            </w:pPr>
          </w:p>
          <w:p w14:paraId="60A0E16D">
            <w:pPr>
              <w:pStyle w:val="6"/>
              <w:spacing w:line="290" w:lineRule="auto"/>
            </w:pPr>
          </w:p>
          <w:p w14:paraId="435D73A5">
            <w:pPr>
              <w:pStyle w:val="6"/>
              <w:spacing w:line="290" w:lineRule="auto"/>
            </w:pPr>
          </w:p>
          <w:p w14:paraId="2EA1D176">
            <w:pPr>
              <w:pStyle w:val="6"/>
              <w:spacing w:line="291" w:lineRule="auto"/>
            </w:pPr>
          </w:p>
          <w:p w14:paraId="1E351AC8">
            <w:pPr>
              <w:spacing w:before="58" w:line="195" w:lineRule="auto"/>
              <w:ind w:left="46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7.</w:t>
            </w:r>
            <w:r>
              <w:rPr>
                <w:rFonts w:ascii="Times New Roman" w:hAnsi="Times New Roman" w:eastAsia="Times New Roman" w:cs="Times New Roman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258" w:type="dxa"/>
            <w:vAlign w:val="top"/>
          </w:tcPr>
          <w:p w14:paraId="74B66B9E">
            <w:pPr>
              <w:pStyle w:val="6"/>
              <w:spacing w:line="306" w:lineRule="auto"/>
            </w:pPr>
          </w:p>
          <w:p w14:paraId="0D8F6B8B">
            <w:pPr>
              <w:pStyle w:val="6"/>
              <w:spacing w:line="306" w:lineRule="auto"/>
            </w:pPr>
          </w:p>
          <w:p w14:paraId="6085B696">
            <w:pPr>
              <w:pStyle w:val="6"/>
              <w:spacing w:line="307" w:lineRule="auto"/>
            </w:pPr>
          </w:p>
          <w:p w14:paraId="32DEDDF2">
            <w:pPr>
              <w:spacing w:before="65" w:line="356" w:lineRule="auto"/>
              <w:ind w:left="111" w:right="107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5"/>
                <w:sz w:val="20"/>
                <w:szCs w:val="20"/>
              </w:rPr>
              <w:t>是否授权评标委员会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确定中标人</w:t>
            </w:r>
          </w:p>
        </w:tc>
        <w:tc>
          <w:tcPr>
            <w:tcW w:w="5592" w:type="dxa"/>
            <w:vAlign w:val="top"/>
          </w:tcPr>
          <w:p w14:paraId="0AA746F0">
            <w:pPr>
              <w:spacing w:before="220" w:line="232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是</w:t>
            </w:r>
          </w:p>
          <w:p w14:paraId="68218D69">
            <w:pPr>
              <w:spacing w:before="249" w:line="409" w:lineRule="auto"/>
              <w:ind w:left="113" w:right="107" w:firstLine="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MS UI Gothic" w:hAnsi="MS UI Gothic" w:eastAsia="MS UI Gothic" w:cs="MS UI Gothic"/>
                <w:spacing w:val="8"/>
                <w:sz w:val="20"/>
                <w:szCs w:val="20"/>
              </w:rPr>
              <w:t>☑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否，推荐的中标候选人数：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:u w:val="single" w:color="auto"/>
              </w:rPr>
              <w:t>投标人的数量少于或等于</w:t>
            </w:r>
            <w:r>
              <w:rPr>
                <w:rFonts w:ascii="宋体" w:hAnsi="宋体" w:eastAsia="宋体" w:cs="宋体"/>
                <w:spacing w:val="47"/>
                <w:sz w:val="20"/>
                <w:szCs w:val="20"/>
                <w:u w:val="single" w:color="auto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  <w:u w:val="single" w:color="auto"/>
              </w:rPr>
              <w:t>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:u w:val="single" w:color="auto"/>
              </w:rPr>
              <w:t xml:space="preserve">家时，评标委员会推荐的中标候选人数量不超过 </w:t>
            </w:r>
            <w:r>
              <w:rPr>
                <w:rFonts w:ascii="Times New Roman" w:hAnsi="Times New Roman" w:eastAsia="Times New Roman" w:cs="Times New Roman"/>
                <w:spacing w:val="9"/>
                <w:sz w:val="20"/>
                <w:szCs w:val="20"/>
                <w:u w:val="single" w:color="auto"/>
              </w:rPr>
              <w:t xml:space="preserve">3 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:u w:val="single" w:color="auto"/>
              </w:rPr>
              <w:t>家；投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u w:val="single" w:color="auto"/>
              </w:rPr>
              <w:t>标人的数量多于</w:t>
            </w:r>
            <w:r>
              <w:rPr>
                <w:rFonts w:ascii="宋体" w:hAnsi="宋体" w:eastAsia="宋体" w:cs="宋体"/>
                <w:spacing w:val="30"/>
                <w:sz w:val="20"/>
                <w:szCs w:val="20"/>
                <w:u w:val="single" w:color="auto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  <w:u w:val="single" w:color="auto"/>
              </w:rPr>
              <w:t xml:space="preserve">10 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  <w:u w:val="single" w:color="auto"/>
              </w:rPr>
              <w:t>家时，评标委员会推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:u w:val="single" w:color="auto"/>
              </w:rPr>
              <w:t>荐的中标候选人数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u w:val="single" w:color="auto"/>
              </w:rPr>
              <w:t>量不少于</w:t>
            </w:r>
            <w:r>
              <w:rPr>
                <w:rFonts w:ascii="宋体" w:hAnsi="宋体" w:eastAsia="宋体" w:cs="宋体"/>
                <w:spacing w:val="-39"/>
                <w:sz w:val="20"/>
                <w:szCs w:val="20"/>
                <w:u w:val="single" w:color="auto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  <w:u w:val="single" w:color="auto"/>
              </w:rPr>
              <w:t xml:space="preserve">3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u w:val="single" w:color="auto"/>
              </w:rPr>
              <w:t>家不超过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  <w:u w:val="single" w:color="auto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  <w:u w:val="single" w:color="auto"/>
              </w:rPr>
              <w:t xml:space="preserve">5 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u w:val="single" w:color="auto"/>
              </w:rPr>
              <w:t>家。</w:t>
            </w:r>
          </w:p>
        </w:tc>
      </w:tr>
      <w:tr w14:paraId="11EF8A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1173" w:type="dxa"/>
            <w:vAlign w:val="top"/>
          </w:tcPr>
          <w:p w14:paraId="19B46F4C">
            <w:pPr>
              <w:pStyle w:val="6"/>
              <w:spacing w:line="415" w:lineRule="auto"/>
            </w:pPr>
          </w:p>
          <w:p w14:paraId="4DBE7885">
            <w:pPr>
              <w:spacing w:before="57" w:line="64" w:lineRule="exact"/>
              <w:ind w:left="39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1"/>
                <w:sz w:val="20"/>
                <w:szCs w:val="20"/>
              </w:rPr>
              <w:t>……</w:t>
            </w:r>
          </w:p>
        </w:tc>
        <w:tc>
          <w:tcPr>
            <w:tcW w:w="2258" w:type="dxa"/>
            <w:vAlign w:val="top"/>
          </w:tcPr>
          <w:p w14:paraId="327AB17F">
            <w:pPr>
              <w:pStyle w:val="6"/>
              <w:spacing w:line="415" w:lineRule="auto"/>
            </w:pPr>
          </w:p>
          <w:p w14:paraId="420B88F7">
            <w:pPr>
              <w:spacing w:before="57" w:line="64" w:lineRule="exact"/>
              <w:ind w:left="12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1"/>
                <w:sz w:val="20"/>
                <w:szCs w:val="20"/>
              </w:rPr>
              <w:t>……</w:t>
            </w:r>
          </w:p>
        </w:tc>
        <w:tc>
          <w:tcPr>
            <w:tcW w:w="5592" w:type="dxa"/>
            <w:vAlign w:val="top"/>
          </w:tcPr>
          <w:p w14:paraId="35C18CEF">
            <w:pPr>
              <w:pStyle w:val="6"/>
              <w:spacing w:line="415" w:lineRule="auto"/>
            </w:pPr>
          </w:p>
          <w:p w14:paraId="3D6B760A">
            <w:pPr>
              <w:spacing w:before="57" w:line="64" w:lineRule="exact"/>
              <w:ind w:left="12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position w:val="1"/>
                <w:sz w:val="20"/>
                <w:szCs w:val="20"/>
              </w:rPr>
              <w:t>……</w:t>
            </w:r>
          </w:p>
        </w:tc>
      </w:tr>
      <w:tr w14:paraId="55EF76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3" w:hRule="atLeast"/>
        </w:trPr>
        <w:tc>
          <w:tcPr>
            <w:tcW w:w="1173" w:type="dxa"/>
            <w:vAlign w:val="top"/>
          </w:tcPr>
          <w:p w14:paraId="30C39C11">
            <w:pPr>
              <w:pStyle w:val="6"/>
              <w:spacing w:line="247" w:lineRule="auto"/>
            </w:pPr>
          </w:p>
          <w:p w14:paraId="246D0751">
            <w:pPr>
              <w:pStyle w:val="6"/>
              <w:spacing w:line="247" w:lineRule="auto"/>
            </w:pPr>
          </w:p>
          <w:p w14:paraId="2520AD76">
            <w:pPr>
              <w:pStyle w:val="6"/>
              <w:spacing w:line="247" w:lineRule="auto"/>
            </w:pPr>
          </w:p>
          <w:p w14:paraId="2065BE80">
            <w:pPr>
              <w:pStyle w:val="6"/>
              <w:spacing w:line="247" w:lineRule="auto"/>
            </w:pPr>
          </w:p>
          <w:p w14:paraId="428C9C0C">
            <w:pPr>
              <w:pStyle w:val="6"/>
              <w:spacing w:line="247" w:lineRule="auto"/>
            </w:pPr>
          </w:p>
          <w:p w14:paraId="2A666B9B">
            <w:pPr>
              <w:pStyle w:val="6"/>
              <w:spacing w:line="247" w:lineRule="auto"/>
            </w:pPr>
          </w:p>
          <w:p w14:paraId="2E0A52A6">
            <w:pPr>
              <w:pStyle w:val="6"/>
              <w:spacing w:line="247" w:lineRule="auto"/>
            </w:pPr>
          </w:p>
          <w:p w14:paraId="40367040">
            <w:pPr>
              <w:pStyle w:val="6"/>
              <w:spacing w:line="247" w:lineRule="auto"/>
            </w:pPr>
          </w:p>
          <w:p w14:paraId="48BFD0AE">
            <w:pPr>
              <w:pStyle w:val="6"/>
              <w:spacing w:line="247" w:lineRule="auto"/>
            </w:pPr>
          </w:p>
          <w:p w14:paraId="0A207C6C">
            <w:pPr>
              <w:pStyle w:val="6"/>
              <w:spacing w:line="247" w:lineRule="auto"/>
            </w:pPr>
          </w:p>
          <w:p w14:paraId="3FA1321A">
            <w:pPr>
              <w:spacing w:before="57" w:line="195" w:lineRule="auto"/>
              <w:ind w:left="42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10.9</w:t>
            </w:r>
          </w:p>
        </w:tc>
        <w:tc>
          <w:tcPr>
            <w:tcW w:w="2258" w:type="dxa"/>
            <w:vAlign w:val="top"/>
          </w:tcPr>
          <w:p w14:paraId="5C2292C4">
            <w:pPr>
              <w:pStyle w:val="6"/>
              <w:spacing w:line="242" w:lineRule="auto"/>
            </w:pPr>
          </w:p>
          <w:p w14:paraId="3D4D4462">
            <w:pPr>
              <w:pStyle w:val="6"/>
              <w:spacing w:line="242" w:lineRule="auto"/>
            </w:pPr>
          </w:p>
          <w:p w14:paraId="6D8ED5CC">
            <w:pPr>
              <w:pStyle w:val="6"/>
              <w:spacing w:line="242" w:lineRule="auto"/>
            </w:pPr>
          </w:p>
          <w:p w14:paraId="3F8B373B">
            <w:pPr>
              <w:pStyle w:val="6"/>
              <w:spacing w:line="243" w:lineRule="auto"/>
            </w:pPr>
          </w:p>
          <w:p w14:paraId="4A16C187">
            <w:pPr>
              <w:pStyle w:val="6"/>
              <w:spacing w:line="243" w:lineRule="auto"/>
            </w:pPr>
          </w:p>
          <w:p w14:paraId="5387FD72">
            <w:pPr>
              <w:pStyle w:val="6"/>
              <w:spacing w:line="243" w:lineRule="auto"/>
            </w:pPr>
          </w:p>
          <w:p w14:paraId="706DCD25">
            <w:pPr>
              <w:pStyle w:val="6"/>
              <w:spacing w:line="243" w:lineRule="auto"/>
            </w:pPr>
          </w:p>
          <w:p w14:paraId="6D53E50E">
            <w:pPr>
              <w:pStyle w:val="6"/>
              <w:spacing w:line="243" w:lineRule="auto"/>
            </w:pPr>
          </w:p>
          <w:p w14:paraId="068411D8">
            <w:pPr>
              <w:pStyle w:val="6"/>
              <w:spacing w:line="243" w:lineRule="auto"/>
            </w:pPr>
          </w:p>
          <w:p w14:paraId="53949BF7">
            <w:pPr>
              <w:pStyle w:val="6"/>
              <w:spacing w:line="243" w:lineRule="auto"/>
            </w:pPr>
          </w:p>
          <w:p w14:paraId="711E49A3">
            <w:pPr>
              <w:spacing w:before="65" w:line="228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评定分离特别规定</w:t>
            </w:r>
          </w:p>
        </w:tc>
        <w:tc>
          <w:tcPr>
            <w:tcW w:w="5592" w:type="dxa"/>
            <w:vAlign w:val="top"/>
          </w:tcPr>
          <w:p w14:paraId="4741E804">
            <w:pPr>
              <w:pStyle w:val="6"/>
            </w:pPr>
          </w:p>
          <w:p w14:paraId="39F7CF88">
            <w:pPr>
              <w:spacing w:before="65" w:line="359" w:lineRule="auto"/>
              <w:ind w:left="114" w:right="107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本招标标段根据《随州市房屋建筑和市政基础设施工程招标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投标评定分离实施办法》的规定，采用</w:t>
            </w: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“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评定分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离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”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方式进行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招标。</w:t>
            </w:r>
          </w:p>
          <w:p w14:paraId="333BCD86">
            <w:pPr>
              <w:pStyle w:val="6"/>
              <w:spacing w:line="366" w:lineRule="auto"/>
            </w:pPr>
          </w:p>
          <w:p w14:paraId="1AF5D655">
            <w:pPr>
              <w:spacing w:before="65" w:line="229" w:lineRule="auto"/>
              <w:ind w:left="1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1.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定标方法：</w:t>
            </w:r>
          </w:p>
          <w:p w14:paraId="3216DA67">
            <w:pPr>
              <w:tabs>
                <w:tab w:val="left" w:pos="3672"/>
              </w:tabs>
              <w:spacing w:before="283" w:line="96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:u w:val="single" w:color="auto"/>
              </w:rPr>
              <w:tab/>
            </w:r>
            <w:r>
              <w:rPr>
                <w:rFonts w:ascii="宋体" w:hAnsi="宋体" w:eastAsia="宋体" w:cs="宋体"/>
                <w:sz w:val="20"/>
                <w:szCs w:val="20"/>
              </w:rPr>
              <w:t>。</w:t>
            </w:r>
          </w:p>
          <w:p w14:paraId="6EA400B9">
            <w:pPr>
              <w:spacing w:before="163" w:line="228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>2.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定标前清标与考察的内容和方法：</w:t>
            </w:r>
          </w:p>
          <w:p w14:paraId="4116F1A8">
            <w:pPr>
              <w:tabs>
                <w:tab w:val="left" w:pos="3672"/>
              </w:tabs>
              <w:spacing w:before="287" w:line="96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:u w:val="single" w:color="auto"/>
              </w:rPr>
              <w:tab/>
            </w:r>
            <w:r>
              <w:rPr>
                <w:rFonts w:ascii="宋体" w:hAnsi="宋体" w:eastAsia="宋体" w:cs="宋体"/>
                <w:sz w:val="20"/>
                <w:szCs w:val="20"/>
              </w:rPr>
              <w:t>。</w:t>
            </w:r>
          </w:p>
          <w:p w14:paraId="5FD7DA84">
            <w:pPr>
              <w:spacing w:before="160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3.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定标会中标候选人答辩要求：</w:t>
            </w:r>
          </w:p>
          <w:p w14:paraId="553DA62D">
            <w:pPr>
              <w:tabs>
                <w:tab w:val="left" w:pos="3672"/>
              </w:tabs>
              <w:spacing w:before="288" w:line="96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:u w:val="single" w:color="auto"/>
              </w:rPr>
              <w:tab/>
            </w:r>
            <w:r>
              <w:rPr>
                <w:rFonts w:ascii="宋体" w:hAnsi="宋体" w:eastAsia="宋体" w:cs="宋体"/>
                <w:sz w:val="20"/>
                <w:szCs w:val="20"/>
              </w:rPr>
              <w:t>。</w:t>
            </w:r>
          </w:p>
        </w:tc>
      </w:tr>
    </w:tbl>
    <w:p w14:paraId="4D1DCAEB">
      <w:pPr>
        <w:rPr>
          <w:rFonts w:ascii="Arial"/>
          <w:sz w:val="21"/>
        </w:rPr>
      </w:pPr>
    </w:p>
    <w:p w14:paraId="3C673C30"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1906" w:h="16839"/>
          <w:pgMar w:top="400" w:right="1403" w:bottom="1400" w:left="1474" w:header="0" w:footer="1147" w:gutter="0"/>
          <w:cols w:space="720" w:num="1"/>
        </w:sectPr>
      </w:pPr>
    </w:p>
    <w:p w14:paraId="7AFAE11E">
      <w:pPr>
        <w:spacing w:line="268" w:lineRule="auto"/>
        <w:rPr>
          <w:rFonts w:ascii="Arial"/>
          <w:sz w:val="21"/>
        </w:rPr>
      </w:pPr>
    </w:p>
    <w:p w14:paraId="574A102B">
      <w:pPr>
        <w:spacing w:line="268" w:lineRule="auto"/>
        <w:rPr>
          <w:rFonts w:ascii="Arial"/>
          <w:sz w:val="21"/>
        </w:rPr>
      </w:pPr>
    </w:p>
    <w:p w14:paraId="6FA7E271">
      <w:pPr>
        <w:spacing w:line="268" w:lineRule="auto"/>
        <w:rPr>
          <w:rFonts w:ascii="Arial"/>
          <w:sz w:val="21"/>
        </w:rPr>
      </w:pPr>
    </w:p>
    <w:p w14:paraId="5341E40E">
      <w:pPr>
        <w:spacing w:line="268" w:lineRule="auto"/>
        <w:rPr>
          <w:rFonts w:ascii="Arial"/>
          <w:sz w:val="21"/>
        </w:rPr>
      </w:pPr>
    </w:p>
    <w:p w14:paraId="799B9BD3">
      <w:pPr>
        <w:spacing w:line="268" w:lineRule="auto"/>
        <w:rPr>
          <w:rFonts w:ascii="Arial"/>
          <w:sz w:val="21"/>
        </w:rPr>
      </w:pPr>
    </w:p>
    <w:p w14:paraId="22EB182A">
      <w:pPr>
        <w:spacing w:line="268" w:lineRule="auto"/>
        <w:rPr>
          <w:rFonts w:ascii="Arial"/>
          <w:sz w:val="21"/>
        </w:rPr>
      </w:pPr>
    </w:p>
    <w:p w14:paraId="4C191545">
      <w:pPr>
        <w:spacing w:before="133" w:line="185" w:lineRule="auto"/>
        <w:ind w:left="17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微软雅黑" w:hAnsi="微软雅黑" w:eastAsia="微软雅黑" w:cs="微软雅黑"/>
          <w:spacing w:val="-2"/>
          <w:sz w:val="31"/>
          <w:szCs w:val="31"/>
        </w:rPr>
        <w:t xml:space="preserve">附件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2</w:t>
      </w:r>
    </w:p>
    <w:p w14:paraId="09B0C91A">
      <w:pPr>
        <w:spacing w:line="411" w:lineRule="auto"/>
        <w:rPr>
          <w:rFonts w:ascii="Arial"/>
          <w:sz w:val="21"/>
        </w:rPr>
      </w:pPr>
    </w:p>
    <w:p w14:paraId="7A8CEBCE">
      <w:pPr>
        <w:spacing w:before="130" w:line="551" w:lineRule="exact"/>
        <w:ind w:left="1324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3"/>
          <w:position w:val="2"/>
          <w:sz w:val="40"/>
          <w:szCs w:val="40"/>
        </w:rPr>
        <w:t>定标委员会组建情况登记表（示例）</w:t>
      </w:r>
    </w:p>
    <w:p w14:paraId="0047C9E5">
      <w:pPr>
        <w:spacing w:before="12"/>
      </w:pPr>
    </w:p>
    <w:p w14:paraId="13904856">
      <w:pPr>
        <w:spacing w:before="11"/>
      </w:pPr>
    </w:p>
    <w:tbl>
      <w:tblPr>
        <w:tblStyle w:val="5"/>
        <w:tblW w:w="90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1194"/>
        <w:gridCol w:w="3081"/>
        <w:gridCol w:w="2117"/>
        <w:gridCol w:w="1884"/>
      </w:tblGrid>
      <w:tr w14:paraId="18C231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961" w:type="dxa"/>
            <w:gridSpan w:val="2"/>
            <w:vAlign w:val="top"/>
          </w:tcPr>
          <w:p w14:paraId="1269EFA3">
            <w:pPr>
              <w:spacing w:before="198" w:line="221" w:lineRule="auto"/>
              <w:ind w:left="6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招标人</w:t>
            </w:r>
          </w:p>
        </w:tc>
        <w:tc>
          <w:tcPr>
            <w:tcW w:w="7082" w:type="dxa"/>
            <w:gridSpan w:val="3"/>
            <w:vAlign w:val="top"/>
          </w:tcPr>
          <w:p w14:paraId="35826210">
            <w:pPr>
              <w:pStyle w:val="6"/>
            </w:pPr>
          </w:p>
        </w:tc>
      </w:tr>
      <w:tr w14:paraId="5AC743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961" w:type="dxa"/>
            <w:gridSpan w:val="2"/>
            <w:vAlign w:val="top"/>
          </w:tcPr>
          <w:p w14:paraId="723AF11C">
            <w:pPr>
              <w:spacing w:before="196" w:line="219" w:lineRule="auto"/>
              <w:ind w:left="2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招标代理机构</w:t>
            </w:r>
          </w:p>
        </w:tc>
        <w:tc>
          <w:tcPr>
            <w:tcW w:w="7082" w:type="dxa"/>
            <w:gridSpan w:val="3"/>
            <w:vAlign w:val="top"/>
          </w:tcPr>
          <w:p w14:paraId="16B24D12">
            <w:pPr>
              <w:pStyle w:val="6"/>
            </w:pPr>
          </w:p>
        </w:tc>
      </w:tr>
      <w:tr w14:paraId="3FD763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961" w:type="dxa"/>
            <w:gridSpan w:val="2"/>
            <w:vAlign w:val="top"/>
          </w:tcPr>
          <w:p w14:paraId="77EBD3DD">
            <w:pPr>
              <w:spacing w:before="194" w:line="221" w:lineRule="auto"/>
              <w:ind w:left="2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招标项目名称</w:t>
            </w:r>
          </w:p>
        </w:tc>
        <w:tc>
          <w:tcPr>
            <w:tcW w:w="7082" w:type="dxa"/>
            <w:gridSpan w:val="3"/>
            <w:vAlign w:val="top"/>
          </w:tcPr>
          <w:p w14:paraId="0412A14F">
            <w:pPr>
              <w:pStyle w:val="6"/>
            </w:pPr>
          </w:p>
        </w:tc>
      </w:tr>
      <w:tr w14:paraId="045275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961" w:type="dxa"/>
            <w:gridSpan w:val="2"/>
            <w:vAlign w:val="top"/>
          </w:tcPr>
          <w:p w14:paraId="72EF0628">
            <w:pPr>
              <w:spacing w:before="195" w:line="222" w:lineRule="auto"/>
              <w:ind w:left="5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组建时间</w:t>
            </w:r>
          </w:p>
        </w:tc>
        <w:tc>
          <w:tcPr>
            <w:tcW w:w="7082" w:type="dxa"/>
            <w:gridSpan w:val="3"/>
            <w:vAlign w:val="top"/>
          </w:tcPr>
          <w:p w14:paraId="64CE510A">
            <w:pPr>
              <w:pStyle w:val="6"/>
            </w:pPr>
          </w:p>
        </w:tc>
      </w:tr>
      <w:tr w14:paraId="39DDB2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9043" w:type="dxa"/>
            <w:gridSpan w:val="5"/>
            <w:vAlign w:val="top"/>
          </w:tcPr>
          <w:p w14:paraId="1E0F942A">
            <w:pPr>
              <w:spacing w:before="195" w:line="219" w:lineRule="auto"/>
              <w:ind w:left="34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定标委员会成员情况</w:t>
            </w:r>
          </w:p>
        </w:tc>
      </w:tr>
      <w:tr w14:paraId="5C0B73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767" w:type="dxa"/>
            <w:vAlign w:val="top"/>
          </w:tcPr>
          <w:p w14:paraId="0A398C15">
            <w:pPr>
              <w:pStyle w:val="6"/>
              <w:spacing w:line="286" w:lineRule="auto"/>
            </w:pPr>
          </w:p>
          <w:p w14:paraId="2F87D38C">
            <w:pPr>
              <w:spacing w:before="78" w:line="222" w:lineRule="auto"/>
              <w:ind w:left="1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194" w:type="dxa"/>
            <w:vAlign w:val="top"/>
          </w:tcPr>
          <w:p w14:paraId="3C1FCA37">
            <w:pPr>
              <w:pStyle w:val="6"/>
              <w:spacing w:line="286" w:lineRule="auto"/>
            </w:pPr>
          </w:p>
          <w:p w14:paraId="526D2248">
            <w:pPr>
              <w:spacing w:before="78" w:line="220" w:lineRule="auto"/>
              <w:ind w:left="3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3081" w:type="dxa"/>
            <w:vAlign w:val="top"/>
          </w:tcPr>
          <w:p w14:paraId="7F11C081">
            <w:pPr>
              <w:pStyle w:val="6"/>
              <w:spacing w:line="286" w:lineRule="auto"/>
            </w:pPr>
          </w:p>
          <w:p w14:paraId="048E72D8">
            <w:pPr>
              <w:spacing w:before="78" w:line="220" w:lineRule="auto"/>
              <w:ind w:left="7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工作单位及职务</w:t>
            </w:r>
          </w:p>
        </w:tc>
        <w:tc>
          <w:tcPr>
            <w:tcW w:w="2117" w:type="dxa"/>
            <w:vAlign w:val="top"/>
          </w:tcPr>
          <w:p w14:paraId="468C0DD1">
            <w:pPr>
              <w:pStyle w:val="6"/>
              <w:spacing w:line="286" w:lineRule="auto"/>
            </w:pPr>
          </w:p>
          <w:p w14:paraId="49C359B7">
            <w:pPr>
              <w:spacing w:before="78" w:line="222" w:lineRule="auto"/>
              <w:ind w:left="5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1884" w:type="dxa"/>
            <w:vAlign w:val="top"/>
          </w:tcPr>
          <w:p w14:paraId="0D3D9376">
            <w:pPr>
              <w:pStyle w:val="6"/>
              <w:spacing w:line="286" w:lineRule="auto"/>
            </w:pPr>
          </w:p>
          <w:p w14:paraId="05100814">
            <w:pPr>
              <w:spacing w:before="78" w:line="222" w:lineRule="auto"/>
              <w:ind w:left="7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备注</w:t>
            </w:r>
          </w:p>
        </w:tc>
      </w:tr>
      <w:tr w14:paraId="68031B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767" w:type="dxa"/>
            <w:vAlign w:val="top"/>
          </w:tcPr>
          <w:p w14:paraId="0E8009B2">
            <w:pPr>
              <w:spacing w:before="237" w:line="188" w:lineRule="auto"/>
              <w:ind w:left="34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vAlign w:val="top"/>
          </w:tcPr>
          <w:p w14:paraId="100B0B14">
            <w:pPr>
              <w:pStyle w:val="6"/>
            </w:pPr>
          </w:p>
        </w:tc>
        <w:tc>
          <w:tcPr>
            <w:tcW w:w="3081" w:type="dxa"/>
            <w:vAlign w:val="top"/>
          </w:tcPr>
          <w:p w14:paraId="48C9755E">
            <w:pPr>
              <w:pStyle w:val="6"/>
            </w:pPr>
          </w:p>
        </w:tc>
        <w:tc>
          <w:tcPr>
            <w:tcW w:w="2117" w:type="dxa"/>
            <w:vAlign w:val="top"/>
          </w:tcPr>
          <w:p w14:paraId="03F9E0AB">
            <w:pPr>
              <w:pStyle w:val="6"/>
            </w:pPr>
          </w:p>
        </w:tc>
        <w:tc>
          <w:tcPr>
            <w:tcW w:w="1884" w:type="dxa"/>
            <w:vAlign w:val="top"/>
          </w:tcPr>
          <w:p w14:paraId="4D0F8B26">
            <w:pPr>
              <w:pStyle w:val="6"/>
            </w:pPr>
          </w:p>
        </w:tc>
      </w:tr>
      <w:tr w14:paraId="2C4F89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767" w:type="dxa"/>
            <w:vAlign w:val="top"/>
          </w:tcPr>
          <w:p w14:paraId="2D0477BB">
            <w:pPr>
              <w:spacing w:before="238" w:line="188" w:lineRule="auto"/>
              <w:ind w:left="32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194" w:type="dxa"/>
            <w:vAlign w:val="top"/>
          </w:tcPr>
          <w:p w14:paraId="7E99D859">
            <w:pPr>
              <w:pStyle w:val="6"/>
            </w:pPr>
          </w:p>
        </w:tc>
        <w:tc>
          <w:tcPr>
            <w:tcW w:w="3081" w:type="dxa"/>
            <w:vAlign w:val="top"/>
          </w:tcPr>
          <w:p w14:paraId="04C167DB">
            <w:pPr>
              <w:pStyle w:val="6"/>
            </w:pPr>
          </w:p>
        </w:tc>
        <w:tc>
          <w:tcPr>
            <w:tcW w:w="2117" w:type="dxa"/>
            <w:vAlign w:val="top"/>
          </w:tcPr>
          <w:p w14:paraId="34197ABB">
            <w:pPr>
              <w:pStyle w:val="6"/>
            </w:pPr>
          </w:p>
        </w:tc>
        <w:tc>
          <w:tcPr>
            <w:tcW w:w="1884" w:type="dxa"/>
            <w:vAlign w:val="top"/>
          </w:tcPr>
          <w:p w14:paraId="4E9AE5C4">
            <w:pPr>
              <w:pStyle w:val="6"/>
            </w:pPr>
          </w:p>
        </w:tc>
      </w:tr>
      <w:tr w14:paraId="787DEE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767" w:type="dxa"/>
            <w:vAlign w:val="top"/>
          </w:tcPr>
          <w:p w14:paraId="445D9D2F">
            <w:pPr>
              <w:spacing w:before="236" w:line="188" w:lineRule="auto"/>
              <w:ind w:left="33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194" w:type="dxa"/>
            <w:vAlign w:val="top"/>
          </w:tcPr>
          <w:p w14:paraId="04086D2F">
            <w:pPr>
              <w:pStyle w:val="6"/>
            </w:pPr>
          </w:p>
        </w:tc>
        <w:tc>
          <w:tcPr>
            <w:tcW w:w="3081" w:type="dxa"/>
            <w:vAlign w:val="top"/>
          </w:tcPr>
          <w:p w14:paraId="184433A8">
            <w:pPr>
              <w:pStyle w:val="6"/>
            </w:pPr>
          </w:p>
        </w:tc>
        <w:tc>
          <w:tcPr>
            <w:tcW w:w="2117" w:type="dxa"/>
            <w:vAlign w:val="top"/>
          </w:tcPr>
          <w:p w14:paraId="4B6C5F35">
            <w:pPr>
              <w:pStyle w:val="6"/>
            </w:pPr>
          </w:p>
        </w:tc>
        <w:tc>
          <w:tcPr>
            <w:tcW w:w="1884" w:type="dxa"/>
            <w:vAlign w:val="top"/>
          </w:tcPr>
          <w:p w14:paraId="3F74E1D5">
            <w:pPr>
              <w:pStyle w:val="6"/>
            </w:pPr>
          </w:p>
        </w:tc>
      </w:tr>
      <w:tr w14:paraId="6C2F0C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767" w:type="dxa"/>
            <w:vAlign w:val="top"/>
          </w:tcPr>
          <w:p w14:paraId="1A39D08D">
            <w:pPr>
              <w:spacing w:before="237" w:line="188" w:lineRule="auto"/>
              <w:ind w:left="3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194" w:type="dxa"/>
            <w:vAlign w:val="top"/>
          </w:tcPr>
          <w:p w14:paraId="3ACAD895">
            <w:pPr>
              <w:pStyle w:val="6"/>
            </w:pPr>
          </w:p>
        </w:tc>
        <w:tc>
          <w:tcPr>
            <w:tcW w:w="3081" w:type="dxa"/>
            <w:vAlign w:val="top"/>
          </w:tcPr>
          <w:p w14:paraId="313C58B8">
            <w:pPr>
              <w:pStyle w:val="6"/>
            </w:pPr>
          </w:p>
        </w:tc>
        <w:tc>
          <w:tcPr>
            <w:tcW w:w="2117" w:type="dxa"/>
            <w:vAlign w:val="top"/>
          </w:tcPr>
          <w:p w14:paraId="7D2FB05D">
            <w:pPr>
              <w:pStyle w:val="6"/>
            </w:pPr>
          </w:p>
        </w:tc>
        <w:tc>
          <w:tcPr>
            <w:tcW w:w="1884" w:type="dxa"/>
            <w:vAlign w:val="top"/>
          </w:tcPr>
          <w:p w14:paraId="7C8BB36C">
            <w:pPr>
              <w:pStyle w:val="6"/>
            </w:pPr>
          </w:p>
        </w:tc>
      </w:tr>
      <w:tr w14:paraId="53AABB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767" w:type="dxa"/>
            <w:vAlign w:val="top"/>
          </w:tcPr>
          <w:p w14:paraId="3DFD944D">
            <w:pPr>
              <w:spacing w:before="242" w:line="185" w:lineRule="auto"/>
              <w:ind w:left="33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194" w:type="dxa"/>
            <w:vAlign w:val="top"/>
          </w:tcPr>
          <w:p w14:paraId="0759F88C">
            <w:pPr>
              <w:pStyle w:val="6"/>
            </w:pPr>
          </w:p>
        </w:tc>
        <w:tc>
          <w:tcPr>
            <w:tcW w:w="3081" w:type="dxa"/>
            <w:vAlign w:val="top"/>
          </w:tcPr>
          <w:p w14:paraId="2FE3CD60">
            <w:pPr>
              <w:pStyle w:val="6"/>
            </w:pPr>
          </w:p>
        </w:tc>
        <w:tc>
          <w:tcPr>
            <w:tcW w:w="2117" w:type="dxa"/>
            <w:vAlign w:val="top"/>
          </w:tcPr>
          <w:p w14:paraId="7068421E">
            <w:pPr>
              <w:pStyle w:val="6"/>
            </w:pPr>
          </w:p>
        </w:tc>
        <w:tc>
          <w:tcPr>
            <w:tcW w:w="1884" w:type="dxa"/>
            <w:vAlign w:val="top"/>
          </w:tcPr>
          <w:p w14:paraId="43DCA45F">
            <w:pPr>
              <w:pStyle w:val="6"/>
            </w:pPr>
          </w:p>
        </w:tc>
      </w:tr>
      <w:tr w14:paraId="6C5E94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767" w:type="dxa"/>
            <w:vAlign w:val="top"/>
          </w:tcPr>
          <w:p w14:paraId="7578909C">
            <w:pPr>
              <w:spacing w:before="238" w:line="188" w:lineRule="auto"/>
              <w:ind w:left="33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194" w:type="dxa"/>
            <w:vAlign w:val="top"/>
          </w:tcPr>
          <w:p w14:paraId="286DA6B7">
            <w:pPr>
              <w:pStyle w:val="6"/>
            </w:pPr>
          </w:p>
        </w:tc>
        <w:tc>
          <w:tcPr>
            <w:tcW w:w="3081" w:type="dxa"/>
            <w:vAlign w:val="top"/>
          </w:tcPr>
          <w:p w14:paraId="7B1B9FCC">
            <w:pPr>
              <w:pStyle w:val="6"/>
            </w:pPr>
          </w:p>
        </w:tc>
        <w:tc>
          <w:tcPr>
            <w:tcW w:w="2117" w:type="dxa"/>
            <w:vAlign w:val="top"/>
          </w:tcPr>
          <w:p w14:paraId="1E0A60FE">
            <w:pPr>
              <w:pStyle w:val="6"/>
            </w:pPr>
          </w:p>
        </w:tc>
        <w:tc>
          <w:tcPr>
            <w:tcW w:w="1884" w:type="dxa"/>
            <w:vAlign w:val="top"/>
          </w:tcPr>
          <w:p w14:paraId="43DF5ACE">
            <w:pPr>
              <w:pStyle w:val="6"/>
            </w:pPr>
          </w:p>
        </w:tc>
      </w:tr>
      <w:tr w14:paraId="1BDA1E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767" w:type="dxa"/>
            <w:vAlign w:val="top"/>
          </w:tcPr>
          <w:p w14:paraId="22A7B64B">
            <w:pPr>
              <w:spacing w:before="242" w:line="185" w:lineRule="auto"/>
              <w:ind w:left="33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194" w:type="dxa"/>
            <w:vAlign w:val="top"/>
          </w:tcPr>
          <w:p w14:paraId="700BB7AE">
            <w:pPr>
              <w:pStyle w:val="6"/>
            </w:pPr>
          </w:p>
        </w:tc>
        <w:tc>
          <w:tcPr>
            <w:tcW w:w="3081" w:type="dxa"/>
            <w:vAlign w:val="top"/>
          </w:tcPr>
          <w:p w14:paraId="6108DE5E">
            <w:pPr>
              <w:pStyle w:val="6"/>
            </w:pPr>
          </w:p>
        </w:tc>
        <w:tc>
          <w:tcPr>
            <w:tcW w:w="2117" w:type="dxa"/>
            <w:vAlign w:val="top"/>
          </w:tcPr>
          <w:p w14:paraId="164DBCF7">
            <w:pPr>
              <w:pStyle w:val="6"/>
            </w:pPr>
          </w:p>
        </w:tc>
        <w:tc>
          <w:tcPr>
            <w:tcW w:w="1884" w:type="dxa"/>
            <w:vAlign w:val="top"/>
          </w:tcPr>
          <w:p w14:paraId="1DE1F9A0">
            <w:pPr>
              <w:pStyle w:val="6"/>
            </w:pPr>
          </w:p>
        </w:tc>
      </w:tr>
      <w:tr w14:paraId="37BB6B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767" w:type="dxa"/>
            <w:vAlign w:val="top"/>
          </w:tcPr>
          <w:p w14:paraId="7AA6B5F0">
            <w:pPr>
              <w:spacing w:before="238" w:line="188" w:lineRule="auto"/>
              <w:ind w:left="33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194" w:type="dxa"/>
            <w:vAlign w:val="top"/>
          </w:tcPr>
          <w:p w14:paraId="74A4F2E5">
            <w:pPr>
              <w:pStyle w:val="6"/>
            </w:pPr>
          </w:p>
        </w:tc>
        <w:tc>
          <w:tcPr>
            <w:tcW w:w="3081" w:type="dxa"/>
            <w:vAlign w:val="top"/>
          </w:tcPr>
          <w:p w14:paraId="60E0EAF9">
            <w:pPr>
              <w:pStyle w:val="6"/>
            </w:pPr>
          </w:p>
        </w:tc>
        <w:tc>
          <w:tcPr>
            <w:tcW w:w="2117" w:type="dxa"/>
            <w:vAlign w:val="top"/>
          </w:tcPr>
          <w:p w14:paraId="40E9B255">
            <w:pPr>
              <w:pStyle w:val="6"/>
            </w:pPr>
          </w:p>
        </w:tc>
        <w:tc>
          <w:tcPr>
            <w:tcW w:w="1884" w:type="dxa"/>
            <w:vAlign w:val="top"/>
          </w:tcPr>
          <w:p w14:paraId="5EAE6F42">
            <w:pPr>
              <w:pStyle w:val="6"/>
            </w:pPr>
          </w:p>
        </w:tc>
      </w:tr>
      <w:tr w14:paraId="4235B7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767" w:type="dxa"/>
            <w:vAlign w:val="top"/>
          </w:tcPr>
          <w:p w14:paraId="188E66DD">
            <w:pPr>
              <w:pStyle w:val="6"/>
              <w:spacing w:line="310" w:lineRule="auto"/>
            </w:pPr>
          </w:p>
          <w:p w14:paraId="5800D62E">
            <w:pPr>
              <w:spacing w:before="69" w:line="75" w:lineRule="exact"/>
              <w:ind w:left="16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194" w:type="dxa"/>
            <w:vAlign w:val="top"/>
          </w:tcPr>
          <w:p w14:paraId="64E59322">
            <w:pPr>
              <w:pStyle w:val="6"/>
            </w:pPr>
          </w:p>
        </w:tc>
        <w:tc>
          <w:tcPr>
            <w:tcW w:w="3081" w:type="dxa"/>
            <w:vAlign w:val="top"/>
          </w:tcPr>
          <w:p w14:paraId="107F8179">
            <w:pPr>
              <w:pStyle w:val="6"/>
            </w:pPr>
          </w:p>
        </w:tc>
        <w:tc>
          <w:tcPr>
            <w:tcW w:w="2117" w:type="dxa"/>
            <w:vAlign w:val="top"/>
          </w:tcPr>
          <w:p w14:paraId="7041A9E9">
            <w:pPr>
              <w:pStyle w:val="6"/>
            </w:pPr>
          </w:p>
        </w:tc>
        <w:tc>
          <w:tcPr>
            <w:tcW w:w="1884" w:type="dxa"/>
            <w:vAlign w:val="top"/>
          </w:tcPr>
          <w:p w14:paraId="02917FD0">
            <w:pPr>
              <w:pStyle w:val="6"/>
            </w:pPr>
          </w:p>
        </w:tc>
      </w:tr>
    </w:tbl>
    <w:p w14:paraId="330EB2CD">
      <w:pPr>
        <w:spacing w:before="60" w:line="360" w:lineRule="exact"/>
        <w:ind w:left="353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position w:val="2"/>
          <w:sz w:val="24"/>
          <w:szCs w:val="24"/>
        </w:rPr>
        <w:t>定标监督小组（签字</w:t>
      </w:r>
      <w:r>
        <w:rPr>
          <w:rFonts w:ascii="Times New Roman" w:hAnsi="Times New Roman" w:eastAsia="Times New Roman" w:cs="Times New Roman"/>
          <w:spacing w:val="-2"/>
          <w:position w:val="2"/>
          <w:sz w:val="24"/>
          <w:szCs w:val="24"/>
        </w:rPr>
        <w:t>/</w:t>
      </w:r>
      <w:r>
        <w:rPr>
          <w:rFonts w:ascii="宋体" w:hAnsi="宋体" w:eastAsia="宋体" w:cs="宋体"/>
          <w:spacing w:val="-2"/>
          <w:position w:val="2"/>
          <w:sz w:val="24"/>
          <w:szCs w:val="24"/>
        </w:rPr>
        <w:t>时间</w:t>
      </w:r>
      <w:r>
        <w:rPr>
          <w:rFonts w:ascii="宋体" w:hAnsi="宋体" w:eastAsia="宋体" w:cs="宋体"/>
          <w:spacing w:val="-64"/>
          <w:position w:val="2"/>
          <w:sz w:val="24"/>
          <w:szCs w:val="24"/>
        </w:rPr>
        <w:t>）：</w:t>
      </w:r>
    </w:p>
    <w:p w14:paraId="7F756B66">
      <w:pPr>
        <w:spacing w:line="360" w:lineRule="exact"/>
        <w:rPr>
          <w:rFonts w:ascii="宋体" w:hAnsi="宋体" w:eastAsia="宋体" w:cs="宋体"/>
          <w:sz w:val="24"/>
          <w:szCs w:val="24"/>
        </w:rPr>
        <w:sectPr>
          <w:footerReference r:id="rId17" w:type="default"/>
          <w:pgSz w:w="11906" w:h="16839"/>
          <w:pgMar w:top="400" w:right="1429" w:bottom="1400" w:left="1428" w:header="0" w:footer="1147" w:gutter="0"/>
          <w:cols w:space="720" w:num="1"/>
        </w:sectPr>
      </w:pPr>
    </w:p>
    <w:p w14:paraId="58592BF7">
      <w:pPr>
        <w:spacing w:line="261" w:lineRule="auto"/>
        <w:rPr>
          <w:rFonts w:ascii="Arial"/>
          <w:sz w:val="21"/>
        </w:rPr>
      </w:pPr>
    </w:p>
    <w:p w14:paraId="7B6FB3A8">
      <w:pPr>
        <w:spacing w:line="261" w:lineRule="auto"/>
        <w:rPr>
          <w:rFonts w:ascii="Arial"/>
          <w:sz w:val="21"/>
        </w:rPr>
      </w:pPr>
    </w:p>
    <w:p w14:paraId="3776663B">
      <w:pPr>
        <w:spacing w:line="261" w:lineRule="auto"/>
        <w:rPr>
          <w:rFonts w:ascii="Arial"/>
          <w:sz w:val="21"/>
        </w:rPr>
      </w:pPr>
    </w:p>
    <w:p w14:paraId="18BD706C">
      <w:pPr>
        <w:spacing w:line="261" w:lineRule="auto"/>
        <w:rPr>
          <w:rFonts w:ascii="Arial"/>
          <w:sz w:val="21"/>
        </w:rPr>
      </w:pPr>
    </w:p>
    <w:p w14:paraId="13291BA7">
      <w:pPr>
        <w:spacing w:line="261" w:lineRule="auto"/>
        <w:rPr>
          <w:rFonts w:ascii="Arial"/>
          <w:sz w:val="21"/>
        </w:rPr>
      </w:pPr>
    </w:p>
    <w:p w14:paraId="24DADED6">
      <w:pPr>
        <w:spacing w:line="261" w:lineRule="auto"/>
        <w:rPr>
          <w:rFonts w:ascii="Arial"/>
          <w:sz w:val="21"/>
        </w:rPr>
      </w:pPr>
    </w:p>
    <w:p w14:paraId="45D3FE52">
      <w:pPr>
        <w:spacing w:line="261" w:lineRule="auto"/>
        <w:rPr>
          <w:rFonts w:ascii="Arial"/>
          <w:sz w:val="21"/>
        </w:rPr>
      </w:pPr>
    </w:p>
    <w:p w14:paraId="4BA9498F">
      <w:pPr>
        <w:spacing w:before="133" w:line="185" w:lineRule="auto"/>
        <w:ind w:left="1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 xml:space="preserve">附件 </w:t>
      </w:r>
      <w:r>
        <w:rPr>
          <w:rFonts w:ascii="Times New Roman" w:hAnsi="Times New Roman" w:eastAsia="Times New Roman" w:cs="Times New Roman"/>
          <w:sz w:val="31"/>
          <w:szCs w:val="31"/>
        </w:rPr>
        <w:t>3</w:t>
      </w:r>
    </w:p>
    <w:p w14:paraId="3A084B5C">
      <w:pPr>
        <w:spacing w:line="293" w:lineRule="auto"/>
        <w:rPr>
          <w:rFonts w:ascii="Arial"/>
          <w:sz w:val="21"/>
        </w:rPr>
      </w:pPr>
    </w:p>
    <w:p w14:paraId="046254C9">
      <w:pPr>
        <w:spacing w:line="294" w:lineRule="auto"/>
        <w:rPr>
          <w:rFonts w:ascii="Arial"/>
          <w:sz w:val="21"/>
        </w:rPr>
      </w:pPr>
    </w:p>
    <w:p w14:paraId="55D696A0">
      <w:pPr>
        <w:spacing w:before="130" w:line="552" w:lineRule="exact"/>
        <w:ind w:left="1960"/>
        <w:outlineLvl w:val="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3"/>
          <w:position w:val="2"/>
          <w:sz w:val="40"/>
          <w:szCs w:val="40"/>
        </w:rPr>
        <w:t>定标会议主要议程（示例）</w:t>
      </w:r>
    </w:p>
    <w:p w14:paraId="4E69B21A">
      <w:pPr>
        <w:spacing w:line="450" w:lineRule="auto"/>
        <w:rPr>
          <w:rFonts w:ascii="Arial"/>
          <w:sz w:val="21"/>
        </w:rPr>
      </w:pPr>
    </w:p>
    <w:p w14:paraId="66180A16">
      <w:pPr>
        <w:pStyle w:val="2"/>
        <w:spacing w:before="101" w:line="283" w:lineRule="auto"/>
        <w:ind w:left="2" w:right="97" w:firstLine="670"/>
      </w:pPr>
      <w:r>
        <w:rPr>
          <w:rFonts w:ascii="Times New Roman" w:hAnsi="Times New Roman" w:eastAsia="Times New Roman" w:cs="Times New Roman"/>
          <w:spacing w:val="8"/>
        </w:rPr>
        <w:t xml:space="preserve">1.  </w:t>
      </w:r>
      <w:r>
        <w:rPr>
          <w:spacing w:val="8"/>
        </w:rPr>
        <w:t>定标委员会组长宣读定标委员会组建情况及组长、成员</w:t>
      </w:r>
      <w:r>
        <w:t xml:space="preserve"> </w:t>
      </w:r>
      <w:r>
        <w:rPr>
          <w:spacing w:val="9"/>
        </w:rPr>
        <w:t>名单、宣读定标纪律，定标委员会成员签订承诺书。</w:t>
      </w:r>
    </w:p>
    <w:p w14:paraId="1614950B">
      <w:pPr>
        <w:pStyle w:val="2"/>
        <w:spacing w:before="206" w:line="320" w:lineRule="auto"/>
        <w:ind w:left="4" w:firstLine="637"/>
      </w:pPr>
      <w:r>
        <w:rPr>
          <w:rFonts w:ascii="Times New Roman" w:hAnsi="Times New Roman" w:eastAsia="Times New Roman" w:cs="Times New Roman"/>
          <w:spacing w:val="1"/>
        </w:rPr>
        <w:t xml:space="preserve">2.  </w:t>
      </w:r>
      <w:r>
        <w:rPr>
          <w:spacing w:val="1"/>
        </w:rPr>
        <w:t>招标项目负责人向定标委员会介绍项目情况、招标情况、</w:t>
      </w:r>
      <w:r>
        <w:rPr>
          <w:spacing w:val="13"/>
        </w:rPr>
        <w:t xml:space="preserve"> 评标情况。如已对中标候选人进行清标和考察的，还应介绍清</w:t>
      </w:r>
      <w:r>
        <w:t xml:space="preserve"> </w:t>
      </w:r>
      <w:r>
        <w:rPr>
          <w:spacing w:val="10"/>
        </w:rPr>
        <w:t>标和考察情况。</w:t>
      </w:r>
      <w:r>
        <w:rPr>
          <w:spacing w:val="-75"/>
        </w:rPr>
        <w:t xml:space="preserve"> </w:t>
      </w:r>
      <w:r>
        <w:rPr>
          <w:spacing w:val="10"/>
        </w:rPr>
        <w:t>同时提供相关资料（包括：招标文件、开标记</w:t>
      </w:r>
      <w:r>
        <w:t xml:space="preserve"> </w:t>
      </w:r>
      <w:r>
        <w:rPr>
          <w:spacing w:val="13"/>
        </w:rPr>
        <w:t>录、评标报告、定标参考要素的基本情况表、涉及定标的其它</w:t>
      </w:r>
      <w:r>
        <w:t xml:space="preserve"> </w:t>
      </w:r>
      <w:r>
        <w:rPr>
          <w:spacing w:val="-9"/>
        </w:rPr>
        <w:t>资料</w:t>
      </w:r>
      <w:r>
        <w:rPr>
          <w:spacing w:val="-66"/>
        </w:rPr>
        <w:t xml:space="preserve"> </w:t>
      </w:r>
      <w:r>
        <w:rPr>
          <w:spacing w:val="-9"/>
        </w:rPr>
        <w:t>）。</w:t>
      </w:r>
    </w:p>
    <w:p w14:paraId="6830425C">
      <w:pPr>
        <w:pStyle w:val="2"/>
        <w:spacing w:before="210" w:line="283" w:lineRule="auto"/>
        <w:ind w:right="97" w:firstLine="648"/>
      </w:pPr>
      <w:r>
        <w:rPr>
          <w:rFonts w:ascii="Times New Roman" w:hAnsi="Times New Roman" w:eastAsia="Times New Roman" w:cs="Times New Roman"/>
          <w:spacing w:val="9"/>
        </w:rPr>
        <w:t xml:space="preserve">3.  </w:t>
      </w:r>
      <w:r>
        <w:rPr>
          <w:spacing w:val="9"/>
        </w:rPr>
        <w:t>如招标文件规定需要答辩的，定标委员会需对</w:t>
      </w:r>
      <w:r>
        <w:rPr>
          <w:spacing w:val="8"/>
        </w:rPr>
        <w:t>全部中标</w:t>
      </w:r>
      <w:r>
        <w:t xml:space="preserve"> </w:t>
      </w:r>
      <w:r>
        <w:rPr>
          <w:spacing w:val="7"/>
        </w:rPr>
        <w:t>候选人进行答辩。</w:t>
      </w:r>
    </w:p>
    <w:p w14:paraId="070EE9B9">
      <w:pPr>
        <w:pStyle w:val="2"/>
        <w:spacing w:before="208" w:line="283" w:lineRule="auto"/>
        <w:ind w:left="11" w:right="97" w:firstLine="629"/>
      </w:pPr>
      <w:r>
        <w:rPr>
          <w:rFonts w:ascii="Times New Roman" w:hAnsi="Times New Roman" w:eastAsia="Times New Roman" w:cs="Times New Roman"/>
          <w:spacing w:val="9"/>
        </w:rPr>
        <w:t xml:space="preserve">4.  </w:t>
      </w:r>
      <w:r>
        <w:rPr>
          <w:spacing w:val="9"/>
        </w:rPr>
        <w:t>定标。定标委员会成员按照招标文件确定的定标办法确</w:t>
      </w:r>
      <w:r>
        <w:rPr>
          <w:spacing w:val="4"/>
        </w:rPr>
        <w:t xml:space="preserve"> 定中标人。</w:t>
      </w:r>
    </w:p>
    <w:p w14:paraId="5B44DBF2">
      <w:pPr>
        <w:pStyle w:val="2"/>
        <w:spacing w:before="205" w:line="221" w:lineRule="auto"/>
        <w:ind w:left="650"/>
      </w:pPr>
      <w:r>
        <w:rPr>
          <w:rFonts w:ascii="Times New Roman" w:hAnsi="Times New Roman" w:eastAsia="Times New Roman" w:cs="Times New Roman"/>
          <w:spacing w:val="7"/>
        </w:rPr>
        <w:t xml:space="preserve">5.  </w:t>
      </w:r>
      <w:r>
        <w:rPr>
          <w:spacing w:val="7"/>
        </w:rPr>
        <w:t>定标报告。根据定标结果形成书面定标报告。</w:t>
      </w:r>
    </w:p>
    <w:p w14:paraId="1CC16321">
      <w:pPr>
        <w:spacing w:line="221" w:lineRule="auto"/>
        <w:sectPr>
          <w:footerReference r:id="rId18" w:type="default"/>
          <w:pgSz w:w="11906" w:h="16839"/>
          <w:pgMar w:top="400" w:right="1491" w:bottom="1400" w:left="1591" w:header="0" w:footer="1147" w:gutter="0"/>
          <w:cols w:space="720" w:num="1"/>
        </w:sectPr>
      </w:pPr>
    </w:p>
    <w:p w14:paraId="272F472D">
      <w:pPr>
        <w:spacing w:line="252" w:lineRule="auto"/>
        <w:rPr>
          <w:rFonts w:ascii="Arial"/>
          <w:sz w:val="21"/>
        </w:rPr>
      </w:pPr>
    </w:p>
    <w:p w14:paraId="24BE759C">
      <w:pPr>
        <w:spacing w:line="252" w:lineRule="auto"/>
        <w:rPr>
          <w:rFonts w:ascii="Arial"/>
          <w:sz w:val="21"/>
        </w:rPr>
      </w:pPr>
    </w:p>
    <w:p w14:paraId="31260706">
      <w:pPr>
        <w:spacing w:line="252" w:lineRule="auto"/>
        <w:rPr>
          <w:rFonts w:ascii="Arial"/>
          <w:sz w:val="21"/>
        </w:rPr>
      </w:pPr>
    </w:p>
    <w:p w14:paraId="5324D19D">
      <w:pPr>
        <w:spacing w:line="252" w:lineRule="auto"/>
        <w:rPr>
          <w:rFonts w:ascii="Arial"/>
          <w:sz w:val="21"/>
        </w:rPr>
      </w:pPr>
    </w:p>
    <w:p w14:paraId="6DFEA6BE">
      <w:pPr>
        <w:spacing w:line="252" w:lineRule="auto"/>
        <w:rPr>
          <w:rFonts w:ascii="Arial"/>
          <w:sz w:val="21"/>
        </w:rPr>
      </w:pPr>
    </w:p>
    <w:p w14:paraId="20D86732">
      <w:pPr>
        <w:spacing w:line="252" w:lineRule="auto"/>
        <w:rPr>
          <w:rFonts w:ascii="Arial"/>
          <w:sz w:val="21"/>
        </w:rPr>
      </w:pPr>
    </w:p>
    <w:p w14:paraId="502D6D78">
      <w:pPr>
        <w:spacing w:line="253" w:lineRule="auto"/>
        <w:rPr>
          <w:rFonts w:ascii="Arial"/>
          <w:sz w:val="21"/>
        </w:rPr>
      </w:pPr>
    </w:p>
    <w:p w14:paraId="75E146C8">
      <w:pPr>
        <w:spacing w:before="133" w:line="185" w:lineRule="auto"/>
        <w:ind w:left="2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微软雅黑" w:hAnsi="微软雅黑" w:eastAsia="微软雅黑" w:cs="微软雅黑"/>
          <w:spacing w:val="-2"/>
          <w:sz w:val="31"/>
          <w:szCs w:val="31"/>
        </w:rPr>
        <w:t xml:space="preserve">附件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4</w:t>
      </w:r>
    </w:p>
    <w:p w14:paraId="1FD9E6E0">
      <w:pPr>
        <w:spacing w:line="280" w:lineRule="auto"/>
        <w:rPr>
          <w:rFonts w:ascii="Arial"/>
          <w:sz w:val="21"/>
        </w:rPr>
      </w:pPr>
    </w:p>
    <w:p w14:paraId="382EA9E6">
      <w:pPr>
        <w:spacing w:line="281" w:lineRule="auto"/>
        <w:rPr>
          <w:rFonts w:ascii="Arial"/>
          <w:sz w:val="21"/>
        </w:rPr>
      </w:pPr>
    </w:p>
    <w:p w14:paraId="08712C55">
      <w:pPr>
        <w:spacing w:before="130" w:line="552" w:lineRule="exact"/>
        <w:ind w:left="2973"/>
        <w:outlineLvl w:val="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2"/>
          <w:position w:val="2"/>
          <w:sz w:val="40"/>
          <w:szCs w:val="40"/>
        </w:rPr>
        <w:t>承诺书（示例）</w:t>
      </w:r>
    </w:p>
    <w:p w14:paraId="34B7FC4D">
      <w:pPr>
        <w:spacing w:line="317" w:lineRule="auto"/>
        <w:rPr>
          <w:rFonts w:ascii="Arial"/>
          <w:sz w:val="21"/>
        </w:rPr>
      </w:pPr>
    </w:p>
    <w:p w14:paraId="51B410A1">
      <w:pPr>
        <w:spacing w:line="318" w:lineRule="auto"/>
        <w:rPr>
          <w:rFonts w:ascii="Arial"/>
          <w:sz w:val="21"/>
        </w:rPr>
      </w:pPr>
    </w:p>
    <w:p w14:paraId="4F4024F0">
      <w:pPr>
        <w:pStyle w:val="2"/>
        <w:spacing w:before="101" w:line="343" w:lineRule="auto"/>
        <w:ind w:left="17" w:firstLine="655"/>
      </w:pPr>
      <w:r>
        <w:rPr>
          <w:spacing w:val="9"/>
        </w:rPr>
        <w:t>我作为</w:t>
      </w:r>
      <w:r>
        <w:rPr>
          <w:spacing w:val="-137"/>
        </w:rPr>
        <w:t xml:space="preserve"> </w:t>
      </w:r>
      <w:r>
        <w:rPr>
          <w:spacing w:val="8"/>
          <w:u w:val="single" w:color="auto"/>
        </w:rPr>
        <w:t xml:space="preserve">              </w:t>
      </w:r>
      <w:r>
        <w:rPr>
          <w:spacing w:val="-138"/>
        </w:rPr>
        <w:t xml:space="preserve"> </w:t>
      </w:r>
      <w:r>
        <w:rPr>
          <w:spacing w:val="9"/>
        </w:rPr>
        <w:t>项目的定标委员会成员，在此郑重</w:t>
      </w:r>
      <w:r>
        <w:t xml:space="preserve"> </w:t>
      </w:r>
      <w:r>
        <w:rPr>
          <w:spacing w:val="1"/>
        </w:rPr>
        <w:t>承诺：</w:t>
      </w:r>
    </w:p>
    <w:p w14:paraId="0551267E">
      <w:pPr>
        <w:pStyle w:val="2"/>
        <w:spacing w:before="47" w:line="312" w:lineRule="auto"/>
        <w:ind w:left="22" w:firstLine="658"/>
      </w:pPr>
      <w:r>
        <w:rPr>
          <w:rFonts w:ascii="Times New Roman" w:hAnsi="Times New Roman" w:eastAsia="Times New Roman" w:cs="Times New Roman"/>
          <w:spacing w:val="8"/>
        </w:rPr>
        <w:t xml:space="preserve">1.  </w:t>
      </w:r>
      <w:r>
        <w:rPr>
          <w:spacing w:val="8"/>
        </w:rPr>
        <w:t>严格遵守《中华人民共和国招标投标法》《中华人民共</w:t>
      </w:r>
      <w:r>
        <w:t xml:space="preserve"> </w:t>
      </w:r>
      <w:r>
        <w:rPr>
          <w:spacing w:val="12"/>
        </w:rPr>
        <w:t>和国保密法》等与招标投标有关的法规、规章、规范性文件的</w:t>
      </w:r>
      <w:r>
        <w:rPr>
          <w:spacing w:val="15"/>
        </w:rPr>
        <w:t xml:space="preserve"> </w:t>
      </w:r>
      <w:r>
        <w:rPr>
          <w:spacing w:val="8"/>
        </w:rPr>
        <w:t>规定，维护国家利益、公共利益和他人合法权益。</w:t>
      </w:r>
    </w:p>
    <w:p w14:paraId="764B477B">
      <w:pPr>
        <w:pStyle w:val="2"/>
        <w:spacing w:before="226" w:line="313" w:lineRule="auto"/>
        <w:ind w:left="14" w:firstLine="635"/>
      </w:pPr>
      <w:r>
        <w:rPr>
          <w:rFonts w:ascii="Times New Roman" w:hAnsi="Times New Roman" w:eastAsia="Times New Roman" w:cs="Times New Roman"/>
          <w:spacing w:val="9"/>
        </w:rPr>
        <w:t xml:space="preserve">2.  </w:t>
      </w:r>
      <w:r>
        <w:rPr>
          <w:spacing w:val="9"/>
        </w:rPr>
        <w:t>客观公正地履行职责，遵守职业道德，独立、负责地为</w:t>
      </w:r>
      <w:r>
        <w:rPr>
          <w:spacing w:val="2"/>
        </w:rPr>
        <w:t xml:space="preserve"> </w:t>
      </w:r>
      <w:r>
        <w:rPr>
          <w:spacing w:val="13"/>
        </w:rPr>
        <w:t>本项目提供真实、可靠合理的定标意见，并对提出的</w:t>
      </w:r>
      <w:r>
        <w:rPr>
          <w:spacing w:val="12"/>
        </w:rPr>
        <w:t>评审意见</w:t>
      </w:r>
      <w:r>
        <w:t xml:space="preserve"> </w:t>
      </w:r>
      <w:r>
        <w:rPr>
          <w:spacing w:val="6"/>
        </w:rPr>
        <w:t>承担个人责任。</w:t>
      </w:r>
    </w:p>
    <w:p w14:paraId="0ACD430A">
      <w:pPr>
        <w:pStyle w:val="2"/>
        <w:spacing w:before="224" w:line="313" w:lineRule="auto"/>
        <w:ind w:left="17" w:firstLine="638"/>
      </w:pPr>
      <w:r>
        <w:rPr>
          <w:rFonts w:ascii="Times New Roman" w:hAnsi="Times New Roman" w:eastAsia="Times New Roman" w:cs="Times New Roman"/>
          <w:spacing w:val="6"/>
        </w:rPr>
        <w:t xml:space="preserve">3.  </w:t>
      </w:r>
      <w:r>
        <w:rPr>
          <w:spacing w:val="6"/>
        </w:rPr>
        <w:t>履行相关保密义务，不透露定标委员会成员名单、</w:t>
      </w:r>
      <w:r>
        <w:rPr>
          <w:spacing w:val="-75"/>
        </w:rPr>
        <w:t xml:space="preserve"> </w:t>
      </w:r>
      <w:r>
        <w:rPr>
          <w:spacing w:val="6"/>
        </w:rPr>
        <w:t>中标</w:t>
      </w:r>
      <w:r>
        <w:t xml:space="preserve"> </w:t>
      </w:r>
      <w:r>
        <w:rPr>
          <w:spacing w:val="13"/>
        </w:rPr>
        <w:t>人推荐以及与定标有关的其他情况，保守定标</w:t>
      </w:r>
      <w:r>
        <w:rPr>
          <w:spacing w:val="12"/>
        </w:rPr>
        <w:t>过程中所有商业</w:t>
      </w:r>
      <w:r>
        <w:t xml:space="preserve"> </w:t>
      </w:r>
      <w:r>
        <w:rPr>
          <w:spacing w:val="1"/>
        </w:rPr>
        <w:t>秘密。</w:t>
      </w:r>
    </w:p>
    <w:p w14:paraId="6270CADC">
      <w:pPr>
        <w:pStyle w:val="2"/>
        <w:spacing w:before="226" w:line="312" w:lineRule="auto"/>
        <w:ind w:left="29" w:firstLine="618"/>
      </w:pPr>
      <w:r>
        <w:rPr>
          <w:rFonts w:ascii="Times New Roman" w:hAnsi="Times New Roman" w:eastAsia="Times New Roman" w:cs="Times New Roman"/>
          <w:spacing w:val="9"/>
        </w:rPr>
        <w:t xml:space="preserve">4.  </w:t>
      </w:r>
      <w:r>
        <w:rPr>
          <w:spacing w:val="9"/>
        </w:rPr>
        <w:t>遵守定标纪律，不私下接触中标候选人或者其他利害关</w:t>
      </w:r>
      <w:r>
        <w:rPr>
          <w:spacing w:val="4"/>
        </w:rPr>
        <w:t xml:space="preserve"> </w:t>
      </w:r>
      <w:r>
        <w:rPr>
          <w:spacing w:val="9"/>
        </w:rPr>
        <w:t>系人，不收受他人的财物或者其他好处，</w:t>
      </w:r>
      <w:r>
        <w:rPr>
          <w:spacing w:val="-66"/>
        </w:rPr>
        <w:t xml:space="preserve"> </w:t>
      </w:r>
      <w:r>
        <w:rPr>
          <w:spacing w:val="9"/>
        </w:rPr>
        <w:t>自觉抵制定标过程中</w:t>
      </w:r>
      <w:r>
        <w:t xml:space="preserve"> </w:t>
      </w:r>
      <w:r>
        <w:rPr>
          <w:spacing w:val="5"/>
        </w:rPr>
        <w:t>一切不正当要求。</w:t>
      </w:r>
    </w:p>
    <w:p w14:paraId="4FA04B83">
      <w:pPr>
        <w:pStyle w:val="2"/>
        <w:spacing w:before="228" w:line="312" w:lineRule="auto"/>
        <w:ind w:left="7" w:firstLine="650"/>
      </w:pPr>
      <w:r>
        <w:rPr>
          <w:rFonts w:ascii="Times New Roman" w:hAnsi="Times New Roman" w:eastAsia="Times New Roman" w:cs="Times New Roman"/>
          <w:spacing w:val="6"/>
        </w:rPr>
        <w:t xml:space="preserve">5.  </w:t>
      </w:r>
      <w:r>
        <w:rPr>
          <w:spacing w:val="6"/>
        </w:rPr>
        <w:t>严格遵守定标委员会成员回避制度，</w:t>
      </w:r>
      <w:r>
        <w:rPr>
          <w:spacing w:val="-77"/>
        </w:rPr>
        <w:t xml:space="preserve"> </w:t>
      </w:r>
      <w:r>
        <w:rPr>
          <w:spacing w:val="6"/>
        </w:rPr>
        <w:t>当发现自己与中标</w:t>
      </w:r>
      <w:r>
        <w:t xml:space="preserve"> </w:t>
      </w:r>
      <w:r>
        <w:rPr>
          <w:spacing w:val="13"/>
        </w:rPr>
        <w:t>候选人有隶属关系、合作经营关系以及其他利益关系时，绝不</w:t>
      </w:r>
      <w:r>
        <w:rPr>
          <w:spacing w:val="3"/>
        </w:rPr>
        <w:t xml:space="preserve"> </w:t>
      </w:r>
      <w:r>
        <w:rPr>
          <w:spacing w:val="7"/>
        </w:rPr>
        <w:t>隐瞒，主动回避。</w:t>
      </w:r>
    </w:p>
    <w:p w14:paraId="38F88702">
      <w:pPr>
        <w:spacing w:line="312" w:lineRule="auto"/>
        <w:sectPr>
          <w:footerReference r:id="rId19" w:type="default"/>
          <w:pgSz w:w="11906" w:h="16839"/>
          <w:pgMar w:top="400" w:right="1588" w:bottom="1400" w:left="1584" w:header="0" w:footer="1147" w:gutter="0"/>
          <w:cols w:space="720" w:num="1"/>
        </w:sectPr>
      </w:pPr>
    </w:p>
    <w:p w14:paraId="0E2476F6">
      <w:pPr>
        <w:spacing w:line="256" w:lineRule="auto"/>
        <w:rPr>
          <w:rFonts w:ascii="Arial"/>
          <w:sz w:val="21"/>
        </w:rPr>
      </w:pPr>
    </w:p>
    <w:p w14:paraId="3C820A72">
      <w:pPr>
        <w:spacing w:line="256" w:lineRule="auto"/>
        <w:rPr>
          <w:rFonts w:ascii="Arial"/>
          <w:sz w:val="21"/>
        </w:rPr>
      </w:pPr>
    </w:p>
    <w:p w14:paraId="5EE2D0D4">
      <w:pPr>
        <w:spacing w:line="256" w:lineRule="auto"/>
        <w:rPr>
          <w:rFonts w:ascii="Arial"/>
          <w:sz w:val="21"/>
        </w:rPr>
      </w:pPr>
    </w:p>
    <w:p w14:paraId="5390320E">
      <w:pPr>
        <w:spacing w:line="256" w:lineRule="auto"/>
        <w:rPr>
          <w:rFonts w:ascii="Arial"/>
          <w:sz w:val="21"/>
        </w:rPr>
      </w:pPr>
    </w:p>
    <w:p w14:paraId="2EB2654E">
      <w:pPr>
        <w:spacing w:line="256" w:lineRule="auto"/>
        <w:rPr>
          <w:rFonts w:ascii="Arial"/>
          <w:sz w:val="21"/>
        </w:rPr>
      </w:pPr>
    </w:p>
    <w:p w14:paraId="217A38E9">
      <w:pPr>
        <w:spacing w:line="256" w:lineRule="auto"/>
        <w:rPr>
          <w:rFonts w:ascii="Arial"/>
          <w:sz w:val="21"/>
        </w:rPr>
      </w:pPr>
    </w:p>
    <w:p w14:paraId="4CC30175">
      <w:pPr>
        <w:spacing w:line="257" w:lineRule="auto"/>
        <w:rPr>
          <w:rFonts w:ascii="Arial"/>
          <w:sz w:val="21"/>
        </w:rPr>
      </w:pPr>
    </w:p>
    <w:p w14:paraId="7FEF2110">
      <w:pPr>
        <w:pStyle w:val="2"/>
        <w:spacing w:before="101" w:line="289" w:lineRule="auto"/>
        <w:ind w:right="5" w:firstLine="642"/>
      </w:pPr>
      <w:r>
        <w:rPr>
          <w:rFonts w:ascii="Times New Roman" w:hAnsi="Times New Roman" w:eastAsia="Times New Roman" w:cs="Times New Roman"/>
          <w:spacing w:val="6"/>
        </w:rPr>
        <w:t>6.</w:t>
      </w:r>
      <w:r>
        <w:rPr>
          <w:rFonts w:ascii="Times New Roman" w:hAnsi="Times New Roman" w:eastAsia="Times New Roman" w:cs="Times New Roman"/>
          <w:spacing w:val="45"/>
          <w:w w:val="101"/>
        </w:rPr>
        <w:t xml:space="preserve">  </w:t>
      </w:r>
      <w:r>
        <w:rPr>
          <w:spacing w:val="6"/>
        </w:rPr>
        <w:t>自觉抵制招投标违法违规行为，积极配合有关部门的调</w:t>
      </w:r>
      <w:r>
        <w:t xml:space="preserve"> </w:t>
      </w:r>
      <w:r>
        <w:rPr>
          <w:spacing w:val="5"/>
        </w:rPr>
        <w:t>查取证工作。</w:t>
      </w:r>
    </w:p>
    <w:p w14:paraId="605108C2">
      <w:pPr>
        <w:pStyle w:val="2"/>
        <w:spacing w:before="229" w:line="222" w:lineRule="auto"/>
        <w:ind w:left="640"/>
      </w:pPr>
      <w:r>
        <w:rPr>
          <w:rFonts w:ascii="Times New Roman" w:hAnsi="Times New Roman" w:eastAsia="Times New Roman" w:cs="Times New Roman"/>
          <w:spacing w:val="3"/>
        </w:rPr>
        <w:t>7.</w:t>
      </w:r>
      <w:r>
        <w:rPr>
          <w:rFonts w:ascii="Times New Roman" w:hAnsi="Times New Roman" w:eastAsia="Times New Roman" w:cs="Times New Roman"/>
          <w:spacing w:val="43"/>
          <w:w w:val="101"/>
        </w:rPr>
        <w:t xml:space="preserve">  </w:t>
      </w:r>
      <w:r>
        <w:rPr>
          <w:spacing w:val="3"/>
        </w:rPr>
        <w:t>自觉服从监督部门的监督和管理。</w:t>
      </w:r>
    </w:p>
    <w:p w14:paraId="5BB123EE">
      <w:pPr>
        <w:pStyle w:val="2"/>
        <w:spacing w:before="227" w:line="342" w:lineRule="auto"/>
        <w:ind w:left="27" w:right="5" w:firstLine="657"/>
      </w:pPr>
      <w:r>
        <w:rPr>
          <w:spacing w:val="11"/>
        </w:rPr>
        <w:t>以上承诺如有违反，本人愿意接受有关行政机关依法做出</w:t>
      </w:r>
      <w:r>
        <w:rPr>
          <w:spacing w:val="8"/>
        </w:rPr>
        <w:t xml:space="preserve"> </w:t>
      </w:r>
      <w:r>
        <w:rPr>
          <w:spacing w:val="5"/>
        </w:rPr>
        <w:t>的任何行政处罚和处分。</w:t>
      </w:r>
    </w:p>
    <w:p w14:paraId="244D9B20">
      <w:pPr>
        <w:spacing w:line="286" w:lineRule="auto"/>
        <w:rPr>
          <w:rFonts w:ascii="Arial"/>
          <w:sz w:val="21"/>
        </w:rPr>
      </w:pPr>
    </w:p>
    <w:p w14:paraId="05523C4A">
      <w:pPr>
        <w:spacing w:line="286" w:lineRule="auto"/>
        <w:rPr>
          <w:rFonts w:ascii="Arial"/>
          <w:sz w:val="21"/>
        </w:rPr>
      </w:pPr>
    </w:p>
    <w:p w14:paraId="72450E21">
      <w:pPr>
        <w:spacing w:line="286" w:lineRule="auto"/>
        <w:rPr>
          <w:rFonts w:ascii="Arial"/>
          <w:sz w:val="21"/>
        </w:rPr>
      </w:pPr>
    </w:p>
    <w:p w14:paraId="755E1CFC">
      <w:pPr>
        <w:spacing w:line="286" w:lineRule="auto"/>
        <w:rPr>
          <w:rFonts w:ascii="Arial"/>
          <w:sz w:val="21"/>
        </w:rPr>
      </w:pPr>
    </w:p>
    <w:p w14:paraId="379A4197">
      <w:pPr>
        <w:pStyle w:val="2"/>
        <w:spacing w:before="100" w:line="224" w:lineRule="auto"/>
        <w:ind w:left="4164"/>
      </w:pPr>
      <w:r>
        <w:rPr>
          <w:spacing w:val="3"/>
        </w:rPr>
        <w:t>承诺人：</w:t>
      </w:r>
    </w:p>
    <w:p w14:paraId="131EC306">
      <w:pPr>
        <w:pStyle w:val="2"/>
        <w:spacing w:before="224" w:line="223" w:lineRule="auto"/>
        <w:ind w:left="4164"/>
      </w:pPr>
      <w:r>
        <w:rPr>
          <w:spacing w:val="4"/>
        </w:rPr>
        <w:t>承诺日期：</w:t>
      </w:r>
    </w:p>
    <w:p w14:paraId="78CEA482">
      <w:pPr>
        <w:spacing w:line="223" w:lineRule="auto"/>
        <w:sectPr>
          <w:footerReference r:id="rId20" w:type="default"/>
          <w:pgSz w:w="11906" w:h="16839"/>
          <w:pgMar w:top="400" w:right="1583" w:bottom="1400" w:left="1598" w:header="0" w:footer="1147" w:gutter="0"/>
          <w:cols w:space="720" w:num="1"/>
        </w:sectPr>
      </w:pPr>
    </w:p>
    <w:p w14:paraId="5C9E1748">
      <w:pPr>
        <w:spacing w:line="261" w:lineRule="auto"/>
        <w:rPr>
          <w:rFonts w:ascii="Arial"/>
          <w:sz w:val="21"/>
        </w:rPr>
      </w:pPr>
    </w:p>
    <w:p w14:paraId="5E7CFFA5">
      <w:pPr>
        <w:spacing w:line="261" w:lineRule="auto"/>
        <w:rPr>
          <w:rFonts w:ascii="Arial"/>
          <w:sz w:val="21"/>
        </w:rPr>
      </w:pPr>
    </w:p>
    <w:p w14:paraId="399704D3">
      <w:pPr>
        <w:spacing w:line="261" w:lineRule="auto"/>
        <w:rPr>
          <w:rFonts w:ascii="Arial"/>
          <w:sz w:val="21"/>
        </w:rPr>
      </w:pPr>
    </w:p>
    <w:p w14:paraId="78DCD740">
      <w:pPr>
        <w:spacing w:line="261" w:lineRule="auto"/>
        <w:rPr>
          <w:rFonts w:ascii="Arial"/>
          <w:sz w:val="21"/>
        </w:rPr>
      </w:pPr>
    </w:p>
    <w:p w14:paraId="087493E8">
      <w:pPr>
        <w:spacing w:line="261" w:lineRule="auto"/>
        <w:rPr>
          <w:rFonts w:ascii="Arial"/>
          <w:sz w:val="21"/>
        </w:rPr>
      </w:pPr>
    </w:p>
    <w:p w14:paraId="38609B89">
      <w:pPr>
        <w:spacing w:line="261" w:lineRule="auto"/>
        <w:rPr>
          <w:rFonts w:ascii="Arial"/>
          <w:sz w:val="21"/>
        </w:rPr>
      </w:pPr>
    </w:p>
    <w:p w14:paraId="040E8B42">
      <w:pPr>
        <w:spacing w:line="261" w:lineRule="auto"/>
        <w:rPr>
          <w:rFonts w:ascii="Arial"/>
          <w:sz w:val="21"/>
        </w:rPr>
      </w:pPr>
    </w:p>
    <w:p w14:paraId="26481CC7">
      <w:pPr>
        <w:spacing w:before="133" w:line="185" w:lineRule="auto"/>
        <w:ind w:left="2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 xml:space="preserve">附件 </w:t>
      </w:r>
      <w:r>
        <w:rPr>
          <w:rFonts w:ascii="Times New Roman" w:hAnsi="Times New Roman" w:eastAsia="Times New Roman" w:cs="Times New Roman"/>
          <w:sz w:val="31"/>
          <w:szCs w:val="31"/>
        </w:rPr>
        <w:t>5</w:t>
      </w:r>
    </w:p>
    <w:p w14:paraId="7BAE27BC">
      <w:pPr>
        <w:spacing w:line="264" w:lineRule="auto"/>
        <w:rPr>
          <w:rFonts w:ascii="Arial"/>
          <w:sz w:val="21"/>
        </w:rPr>
      </w:pPr>
    </w:p>
    <w:p w14:paraId="427C22DE">
      <w:pPr>
        <w:spacing w:line="264" w:lineRule="auto"/>
        <w:rPr>
          <w:rFonts w:ascii="Arial"/>
          <w:sz w:val="21"/>
        </w:rPr>
      </w:pPr>
    </w:p>
    <w:p w14:paraId="38CFEC80">
      <w:pPr>
        <w:spacing w:line="265" w:lineRule="auto"/>
        <w:rPr>
          <w:rFonts w:ascii="Arial"/>
          <w:sz w:val="21"/>
        </w:rPr>
      </w:pPr>
    </w:p>
    <w:p w14:paraId="5EA4D56F">
      <w:pPr>
        <w:spacing w:line="265" w:lineRule="auto"/>
        <w:rPr>
          <w:rFonts w:ascii="Arial"/>
          <w:sz w:val="21"/>
        </w:rPr>
      </w:pPr>
    </w:p>
    <w:p w14:paraId="78E0AA94">
      <w:pPr>
        <w:spacing w:before="130" w:line="215" w:lineRule="auto"/>
        <w:ind w:left="2175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5"/>
          <w:sz w:val="40"/>
          <w:szCs w:val="40"/>
        </w:rPr>
        <w:t>湖北省工程建设项目招标</w:t>
      </w:r>
    </w:p>
    <w:p w14:paraId="5C108652">
      <w:pPr>
        <w:spacing w:line="245" w:lineRule="auto"/>
        <w:rPr>
          <w:rFonts w:ascii="Arial"/>
          <w:sz w:val="21"/>
        </w:rPr>
      </w:pPr>
    </w:p>
    <w:p w14:paraId="4A39EF37">
      <w:pPr>
        <w:spacing w:line="245" w:lineRule="auto"/>
        <w:rPr>
          <w:rFonts w:ascii="Arial"/>
          <w:sz w:val="21"/>
        </w:rPr>
      </w:pPr>
    </w:p>
    <w:p w14:paraId="4245544D">
      <w:pPr>
        <w:spacing w:before="231" w:line="224" w:lineRule="auto"/>
        <w:ind w:left="967"/>
        <w:rPr>
          <w:rFonts w:ascii="黑体" w:hAnsi="黑体" w:eastAsia="黑体" w:cs="黑体"/>
          <w:sz w:val="71"/>
          <w:szCs w:val="71"/>
        </w:rPr>
      </w:pPr>
      <w:r>
        <w:rPr>
          <w:rFonts w:ascii="黑体" w:hAnsi="黑体" w:eastAsia="黑体" w:cs="黑体"/>
          <w:spacing w:val="2"/>
          <w:sz w:val="71"/>
          <w:szCs w:val="71"/>
        </w:rPr>
        <w:t>定 标 报</w:t>
      </w:r>
      <w:r>
        <w:rPr>
          <w:rFonts w:ascii="黑体" w:hAnsi="黑体" w:eastAsia="黑体" w:cs="黑体"/>
          <w:spacing w:val="44"/>
          <w:sz w:val="71"/>
          <w:szCs w:val="71"/>
        </w:rPr>
        <w:t xml:space="preserve"> </w:t>
      </w:r>
      <w:r>
        <w:rPr>
          <w:rFonts w:ascii="黑体" w:hAnsi="黑体" w:eastAsia="黑体" w:cs="黑体"/>
          <w:spacing w:val="2"/>
          <w:sz w:val="71"/>
          <w:szCs w:val="71"/>
        </w:rPr>
        <w:t>告（示例）</w:t>
      </w:r>
    </w:p>
    <w:p w14:paraId="558A1815">
      <w:pPr>
        <w:spacing w:line="284" w:lineRule="auto"/>
        <w:rPr>
          <w:rFonts w:ascii="Arial"/>
          <w:sz w:val="21"/>
        </w:rPr>
      </w:pPr>
    </w:p>
    <w:p w14:paraId="0EFBC6CF">
      <w:pPr>
        <w:spacing w:line="284" w:lineRule="auto"/>
        <w:rPr>
          <w:rFonts w:ascii="Arial"/>
          <w:sz w:val="21"/>
        </w:rPr>
      </w:pPr>
    </w:p>
    <w:p w14:paraId="46BC1913">
      <w:pPr>
        <w:tabs>
          <w:tab w:val="left" w:pos="1798"/>
        </w:tabs>
        <w:spacing w:before="91" w:line="267" w:lineRule="auto"/>
        <w:ind w:left="2763" w:right="1777" w:hanging="194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  <w:u w:val="single" w:color="auto"/>
        </w:rPr>
        <w:tab/>
      </w:r>
      <w:r>
        <w:rPr>
          <w:rFonts w:ascii="宋体" w:hAnsi="宋体" w:eastAsia="宋体" w:cs="宋体"/>
          <w:b/>
          <w:bCs/>
          <w:spacing w:val="-2"/>
          <w:sz w:val="28"/>
          <w:szCs w:val="28"/>
        </w:rPr>
        <w:t>（项目名称）</w:t>
      </w:r>
      <w:r>
        <w:rPr>
          <w:rFonts w:ascii="宋体" w:hAnsi="宋体" w:eastAsia="宋体" w:cs="宋体"/>
          <w:spacing w:val="-2"/>
          <w:sz w:val="28"/>
          <w:szCs w:val="28"/>
          <w:u w:val="single" w:color="auto"/>
        </w:rPr>
        <w:t xml:space="preserve">      </w:t>
      </w:r>
      <w:r>
        <w:rPr>
          <w:rFonts w:ascii="宋体" w:hAnsi="宋体" w:eastAsia="宋体" w:cs="宋体"/>
          <w:spacing w:val="-12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>(</w:t>
      </w:r>
      <w:r>
        <w:rPr>
          <w:rFonts w:ascii="宋体" w:hAnsi="宋体" w:eastAsia="宋体" w:cs="宋体"/>
          <w:b/>
          <w:bCs/>
          <w:spacing w:val="-2"/>
          <w:sz w:val="28"/>
          <w:szCs w:val="28"/>
        </w:rPr>
        <w:t>标段名称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</w:rPr>
        <w:t xml:space="preserve">)  </w:t>
      </w:r>
      <w:r>
        <w:rPr>
          <w:rFonts w:ascii="Times New Roman" w:hAnsi="Times New Roman" w:eastAsia="Times New Roman" w:cs="Times New Roman"/>
          <w:b/>
          <w:bCs/>
          <w:spacing w:val="-2"/>
          <w:sz w:val="28"/>
          <w:szCs w:val="28"/>
          <w:u w:val="single" w:color="auto"/>
        </w:rPr>
        <w:t xml:space="preserve">      </w:t>
      </w:r>
      <w:r>
        <w:rPr>
          <w:rFonts w:ascii="Times New Roman" w:hAnsi="Times New Roman" w:eastAsia="Times New Roman" w:cs="Times New Roman"/>
          <w:b/>
          <w:bCs/>
          <w:spacing w:val="-57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2"/>
          <w:sz w:val="28"/>
          <w:szCs w:val="28"/>
        </w:rPr>
        <w:t>招标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28"/>
          <w:szCs w:val="28"/>
        </w:rPr>
        <w:t>招标编号：</w:t>
      </w:r>
    </w:p>
    <w:p w14:paraId="0D919B6A">
      <w:pPr>
        <w:spacing w:line="249" w:lineRule="auto"/>
        <w:rPr>
          <w:rFonts w:ascii="Arial"/>
          <w:sz w:val="21"/>
        </w:rPr>
      </w:pPr>
    </w:p>
    <w:p w14:paraId="15DE0367">
      <w:pPr>
        <w:spacing w:line="249" w:lineRule="auto"/>
        <w:rPr>
          <w:rFonts w:ascii="Arial"/>
          <w:sz w:val="21"/>
        </w:rPr>
      </w:pPr>
    </w:p>
    <w:p w14:paraId="79596F15">
      <w:pPr>
        <w:spacing w:line="249" w:lineRule="auto"/>
        <w:rPr>
          <w:rFonts w:ascii="Arial"/>
          <w:sz w:val="21"/>
        </w:rPr>
      </w:pPr>
    </w:p>
    <w:p w14:paraId="1BBBFD08">
      <w:pPr>
        <w:spacing w:line="249" w:lineRule="auto"/>
        <w:rPr>
          <w:rFonts w:ascii="Arial"/>
          <w:sz w:val="21"/>
        </w:rPr>
      </w:pPr>
    </w:p>
    <w:p w14:paraId="08337500">
      <w:pPr>
        <w:spacing w:line="249" w:lineRule="auto"/>
        <w:rPr>
          <w:rFonts w:ascii="Arial"/>
          <w:sz w:val="21"/>
        </w:rPr>
      </w:pPr>
    </w:p>
    <w:p w14:paraId="6DE69973">
      <w:pPr>
        <w:spacing w:line="249" w:lineRule="auto"/>
        <w:rPr>
          <w:rFonts w:ascii="Arial"/>
          <w:sz w:val="21"/>
        </w:rPr>
      </w:pPr>
    </w:p>
    <w:p w14:paraId="6211FC7B">
      <w:pPr>
        <w:spacing w:line="249" w:lineRule="auto"/>
        <w:rPr>
          <w:rFonts w:ascii="Arial"/>
          <w:sz w:val="21"/>
        </w:rPr>
      </w:pPr>
    </w:p>
    <w:p w14:paraId="407516CC">
      <w:pPr>
        <w:spacing w:line="249" w:lineRule="auto"/>
        <w:rPr>
          <w:rFonts w:ascii="Arial"/>
          <w:sz w:val="21"/>
        </w:rPr>
      </w:pPr>
    </w:p>
    <w:p w14:paraId="4A4005F4">
      <w:pPr>
        <w:spacing w:line="250" w:lineRule="auto"/>
        <w:rPr>
          <w:rFonts w:ascii="Arial"/>
          <w:sz w:val="21"/>
        </w:rPr>
      </w:pPr>
    </w:p>
    <w:p w14:paraId="1B93C352">
      <w:pPr>
        <w:spacing w:line="250" w:lineRule="auto"/>
        <w:rPr>
          <w:rFonts w:ascii="Arial"/>
          <w:sz w:val="21"/>
        </w:rPr>
      </w:pPr>
    </w:p>
    <w:p w14:paraId="09553CD5">
      <w:pPr>
        <w:spacing w:line="250" w:lineRule="auto"/>
        <w:rPr>
          <w:rFonts w:ascii="Arial"/>
          <w:sz w:val="21"/>
        </w:rPr>
      </w:pPr>
    </w:p>
    <w:p w14:paraId="16AB67B3">
      <w:pPr>
        <w:spacing w:line="250" w:lineRule="auto"/>
        <w:rPr>
          <w:rFonts w:ascii="Arial"/>
          <w:sz w:val="21"/>
        </w:rPr>
      </w:pPr>
    </w:p>
    <w:p w14:paraId="3BF3C053">
      <w:pPr>
        <w:spacing w:before="91" w:line="273" w:lineRule="auto"/>
        <w:ind w:left="854" w:right="264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2"/>
          <w:sz w:val="28"/>
          <w:szCs w:val="28"/>
        </w:rPr>
        <w:t>招</w:t>
      </w:r>
      <w:r>
        <w:rPr>
          <w:rFonts w:ascii="宋体" w:hAnsi="宋体" w:eastAsia="宋体" w:cs="宋体"/>
          <w:spacing w:val="2"/>
          <w:sz w:val="28"/>
          <w:szCs w:val="28"/>
        </w:rPr>
        <w:t xml:space="preserve">   </w:t>
      </w:r>
      <w:r>
        <w:rPr>
          <w:rFonts w:ascii="宋体" w:hAnsi="宋体" w:eastAsia="宋体" w:cs="宋体"/>
          <w:b/>
          <w:bCs/>
          <w:spacing w:val="2"/>
          <w:sz w:val="28"/>
          <w:szCs w:val="28"/>
        </w:rPr>
        <w:t>标</w:t>
      </w:r>
      <w:r>
        <w:rPr>
          <w:rFonts w:ascii="宋体" w:hAnsi="宋体" w:eastAsia="宋体" w:cs="宋体"/>
          <w:spacing w:val="2"/>
          <w:sz w:val="28"/>
          <w:szCs w:val="28"/>
        </w:rPr>
        <w:t xml:space="preserve">   </w:t>
      </w:r>
      <w:r>
        <w:rPr>
          <w:rFonts w:ascii="宋体" w:hAnsi="宋体" w:eastAsia="宋体" w:cs="宋体"/>
          <w:b/>
          <w:bCs/>
          <w:spacing w:val="2"/>
          <w:sz w:val="28"/>
          <w:szCs w:val="28"/>
        </w:rPr>
        <w:t>人</w:t>
      </w:r>
      <w:r>
        <w:rPr>
          <w:rFonts w:ascii="宋体" w:hAnsi="宋体" w:eastAsia="宋体" w:cs="宋体"/>
          <w:b/>
          <w:bCs/>
          <w:spacing w:val="-39"/>
          <w:sz w:val="28"/>
          <w:szCs w:val="28"/>
        </w:rPr>
        <w:t>：</w:t>
      </w:r>
      <w:r>
        <w:rPr>
          <w:rFonts w:ascii="宋体" w:hAnsi="宋体" w:eastAsia="宋体" w:cs="宋体"/>
          <w:spacing w:val="15"/>
          <w:sz w:val="28"/>
          <w:szCs w:val="28"/>
          <w:u w:val="single" w:color="auto"/>
        </w:rPr>
        <w:t xml:space="preserve">         </w:t>
      </w:r>
      <w:r>
        <w:rPr>
          <w:rFonts w:ascii="宋体" w:hAnsi="宋体" w:eastAsia="宋体" w:cs="宋体"/>
          <w:b/>
          <w:bCs/>
          <w:spacing w:val="-39"/>
          <w:sz w:val="28"/>
          <w:szCs w:val="28"/>
        </w:rPr>
        <w:t>（</w:t>
      </w:r>
      <w:r>
        <w:rPr>
          <w:rFonts w:ascii="宋体" w:hAnsi="宋体" w:eastAsia="宋体" w:cs="宋体"/>
          <w:b/>
          <w:bCs/>
          <w:spacing w:val="2"/>
          <w:sz w:val="28"/>
          <w:szCs w:val="28"/>
        </w:rPr>
        <w:t>盖单位章）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招标代理机构：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            </w:t>
      </w:r>
    </w:p>
    <w:p w14:paraId="0F99E0CE">
      <w:pPr>
        <w:spacing w:line="385" w:lineRule="auto"/>
        <w:rPr>
          <w:rFonts w:ascii="Arial"/>
          <w:sz w:val="21"/>
        </w:rPr>
      </w:pPr>
    </w:p>
    <w:p w14:paraId="7854E212">
      <w:pPr>
        <w:spacing w:before="91" w:line="221" w:lineRule="auto"/>
        <w:ind w:left="226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10"/>
          <w:sz w:val="28"/>
          <w:szCs w:val="28"/>
        </w:rPr>
        <w:t>时间：</w:t>
      </w:r>
      <w:r>
        <w:rPr>
          <w:rFonts w:ascii="宋体" w:hAnsi="宋体" w:eastAsia="宋体" w:cs="宋体"/>
          <w:spacing w:val="2"/>
          <w:sz w:val="28"/>
          <w:szCs w:val="28"/>
        </w:rPr>
        <w:t xml:space="preserve">     </w:t>
      </w:r>
      <w:r>
        <w:rPr>
          <w:rFonts w:ascii="宋体" w:hAnsi="宋体" w:eastAsia="宋体" w:cs="宋体"/>
          <w:b/>
          <w:bCs/>
          <w:spacing w:val="-10"/>
          <w:sz w:val="28"/>
          <w:szCs w:val="28"/>
        </w:rPr>
        <w:t>年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   </w:t>
      </w:r>
      <w:r>
        <w:rPr>
          <w:rFonts w:ascii="宋体" w:hAnsi="宋体" w:eastAsia="宋体" w:cs="宋体"/>
          <w:b/>
          <w:bCs/>
          <w:spacing w:val="-10"/>
          <w:sz w:val="28"/>
          <w:szCs w:val="28"/>
        </w:rPr>
        <w:t>月</w:t>
      </w:r>
    </w:p>
    <w:p w14:paraId="6691BEA6">
      <w:pPr>
        <w:spacing w:line="221" w:lineRule="auto"/>
        <w:rPr>
          <w:rFonts w:ascii="宋体" w:hAnsi="宋体" w:eastAsia="宋体" w:cs="宋体"/>
          <w:sz w:val="28"/>
          <w:szCs w:val="28"/>
        </w:rPr>
        <w:sectPr>
          <w:footerReference r:id="rId21" w:type="default"/>
          <w:pgSz w:w="11906" w:h="16839"/>
          <w:pgMar w:top="400" w:right="1785" w:bottom="1400" w:left="1584" w:header="0" w:footer="1147" w:gutter="0"/>
          <w:cols w:space="720" w:num="1"/>
        </w:sectPr>
      </w:pPr>
    </w:p>
    <w:p w14:paraId="56C6DD8C">
      <w:pPr>
        <w:spacing w:line="250" w:lineRule="auto"/>
        <w:rPr>
          <w:rFonts w:ascii="Arial"/>
          <w:sz w:val="21"/>
        </w:rPr>
      </w:pPr>
    </w:p>
    <w:p w14:paraId="64383CD3">
      <w:pPr>
        <w:spacing w:line="250" w:lineRule="auto"/>
        <w:rPr>
          <w:rFonts w:ascii="Arial"/>
          <w:sz w:val="21"/>
        </w:rPr>
      </w:pPr>
    </w:p>
    <w:p w14:paraId="2B5FB152">
      <w:pPr>
        <w:spacing w:line="250" w:lineRule="auto"/>
        <w:rPr>
          <w:rFonts w:ascii="Arial"/>
          <w:sz w:val="21"/>
        </w:rPr>
      </w:pPr>
    </w:p>
    <w:p w14:paraId="7B4D4733">
      <w:pPr>
        <w:spacing w:line="250" w:lineRule="auto"/>
        <w:rPr>
          <w:rFonts w:ascii="Arial"/>
          <w:sz w:val="21"/>
        </w:rPr>
      </w:pPr>
    </w:p>
    <w:p w14:paraId="0F5692E3">
      <w:pPr>
        <w:spacing w:line="250" w:lineRule="auto"/>
        <w:rPr>
          <w:rFonts w:ascii="Arial"/>
          <w:sz w:val="21"/>
        </w:rPr>
      </w:pPr>
    </w:p>
    <w:p w14:paraId="629BB019">
      <w:pPr>
        <w:spacing w:line="250" w:lineRule="auto"/>
        <w:rPr>
          <w:rFonts w:ascii="Arial"/>
          <w:sz w:val="21"/>
        </w:rPr>
      </w:pPr>
    </w:p>
    <w:p w14:paraId="3486E398">
      <w:pPr>
        <w:spacing w:line="250" w:lineRule="auto"/>
        <w:rPr>
          <w:rFonts w:ascii="Arial"/>
          <w:sz w:val="21"/>
        </w:rPr>
      </w:pPr>
    </w:p>
    <w:p w14:paraId="32BDC657">
      <w:pPr>
        <w:spacing w:line="250" w:lineRule="auto"/>
        <w:rPr>
          <w:rFonts w:ascii="Arial"/>
          <w:sz w:val="21"/>
        </w:rPr>
      </w:pPr>
    </w:p>
    <w:p w14:paraId="46BC86B4">
      <w:pPr>
        <w:spacing w:line="251" w:lineRule="auto"/>
        <w:rPr>
          <w:rFonts w:ascii="Arial"/>
          <w:sz w:val="21"/>
        </w:rPr>
      </w:pPr>
    </w:p>
    <w:p w14:paraId="319AC37F">
      <w:pPr>
        <w:spacing w:before="114" w:line="216" w:lineRule="auto"/>
        <w:ind w:left="3876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-29"/>
          <w:sz w:val="35"/>
          <w:szCs w:val="35"/>
        </w:rPr>
        <w:t>目</w:t>
      </w:r>
      <w:r>
        <w:rPr>
          <w:rFonts w:ascii="宋体" w:hAnsi="宋体" w:eastAsia="宋体" w:cs="宋体"/>
          <w:spacing w:val="11"/>
          <w:sz w:val="35"/>
          <w:szCs w:val="35"/>
        </w:rPr>
        <w:t xml:space="preserve">  </w:t>
      </w:r>
      <w:r>
        <w:rPr>
          <w:rFonts w:ascii="宋体" w:hAnsi="宋体" w:eastAsia="宋体" w:cs="宋体"/>
          <w:b/>
          <w:bCs/>
          <w:spacing w:val="-29"/>
          <w:sz w:val="35"/>
          <w:szCs w:val="35"/>
        </w:rPr>
        <w:t>录</w:t>
      </w:r>
    </w:p>
    <w:p w14:paraId="58CBAE4B">
      <w:pPr>
        <w:spacing w:line="264" w:lineRule="auto"/>
        <w:rPr>
          <w:rFonts w:ascii="Arial"/>
          <w:sz w:val="21"/>
        </w:rPr>
      </w:pPr>
    </w:p>
    <w:p w14:paraId="4D99AA8B">
      <w:pPr>
        <w:spacing w:line="264" w:lineRule="auto"/>
        <w:rPr>
          <w:rFonts w:ascii="Arial"/>
          <w:sz w:val="21"/>
        </w:rPr>
      </w:pPr>
    </w:p>
    <w:p w14:paraId="537B552A">
      <w:pPr>
        <w:spacing w:line="264" w:lineRule="auto"/>
        <w:rPr>
          <w:rFonts w:ascii="Arial"/>
          <w:sz w:val="21"/>
        </w:rPr>
      </w:pPr>
    </w:p>
    <w:p w14:paraId="1B110B51">
      <w:pPr>
        <w:spacing w:before="91" w:line="221" w:lineRule="auto"/>
        <w:ind w:left="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一、定标概况一览表</w:t>
      </w:r>
    </w:p>
    <w:p w14:paraId="352E3A5A">
      <w:pPr>
        <w:spacing w:before="265" w:line="220" w:lineRule="auto"/>
        <w:ind w:left="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二、定标委员会成员名单</w:t>
      </w:r>
    </w:p>
    <w:p w14:paraId="26B39154">
      <w:pPr>
        <w:spacing w:before="267" w:line="221" w:lineRule="auto"/>
        <w:ind w:left="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三、定标监督小组名单</w:t>
      </w:r>
    </w:p>
    <w:p w14:paraId="531C8E04">
      <w:pPr>
        <w:spacing w:before="263" w:line="221" w:lineRule="auto"/>
        <w:ind w:left="2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四、定标办法</w:t>
      </w:r>
    </w:p>
    <w:p w14:paraId="6F89587D">
      <w:pPr>
        <w:spacing w:before="265" w:line="221" w:lineRule="auto"/>
        <w:ind w:left="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五、定标情况</w:t>
      </w:r>
    </w:p>
    <w:p w14:paraId="0C7CBCC4">
      <w:pPr>
        <w:spacing w:before="263" w:line="308" w:lineRule="auto"/>
        <w:ind w:right="7056" w:firstLine="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六、定标结果</w:t>
      </w:r>
      <w:r>
        <w:rPr>
          <w:rFonts w:ascii="宋体" w:hAnsi="宋体" w:eastAsia="宋体" w:cs="宋体"/>
          <w:spacing w:val="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七、附件</w:t>
      </w:r>
    </w:p>
    <w:p w14:paraId="474503C8">
      <w:pPr>
        <w:spacing w:line="308" w:lineRule="auto"/>
        <w:rPr>
          <w:rFonts w:ascii="宋体" w:hAnsi="宋体" w:eastAsia="宋体" w:cs="宋体"/>
          <w:sz w:val="28"/>
          <w:szCs w:val="28"/>
        </w:rPr>
        <w:sectPr>
          <w:footerReference r:id="rId22" w:type="default"/>
          <w:pgSz w:w="11906" w:h="16839"/>
          <w:pgMar w:top="400" w:right="1583" w:bottom="1400" w:left="1596" w:header="0" w:footer="1147" w:gutter="0"/>
          <w:cols w:space="720" w:num="1"/>
        </w:sectPr>
      </w:pPr>
    </w:p>
    <w:p w14:paraId="78ADB794">
      <w:pPr>
        <w:spacing w:line="264" w:lineRule="auto"/>
        <w:rPr>
          <w:rFonts w:ascii="Arial"/>
          <w:sz w:val="21"/>
        </w:rPr>
      </w:pPr>
    </w:p>
    <w:p w14:paraId="2FA1F5C3">
      <w:pPr>
        <w:spacing w:line="264" w:lineRule="auto"/>
        <w:rPr>
          <w:rFonts w:ascii="Arial"/>
          <w:sz w:val="21"/>
        </w:rPr>
      </w:pPr>
    </w:p>
    <w:p w14:paraId="384B9CD3">
      <w:pPr>
        <w:spacing w:line="264" w:lineRule="auto"/>
        <w:rPr>
          <w:rFonts w:ascii="Arial"/>
          <w:sz w:val="21"/>
        </w:rPr>
      </w:pPr>
    </w:p>
    <w:p w14:paraId="04C44023">
      <w:pPr>
        <w:spacing w:line="264" w:lineRule="auto"/>
        <w:rPr>
          <w:rFonts w:ascii="Arial"/>
          <w:sz w:val="21"/>
        </w:rPr>
      </w:pPr>
    </w:p>
    <w:p w14:paraId="568F6260">
      <w:pPr>
        <w:spacing w:line="264" w:lineRule="auto"/>
        <w:rPr>
          <w:rFonts w:ascii="Arial"/>
          <w:sz w:val="21"/>
        </w:rPr>
      </w:pPr>
    </w:p>
    <w:p w14:paraId="296DDA22">
      <w:pPr>
        <w:spacing w:line="265" w:lineRule="auto"/>
        <w:rPr>
          <w:rFonts w:ascii="Arial"/>
          <w:sz w:val="21"/>
        </w:rPr>
      </w:pPr>
    </w:p>
    <w:p w14:paraId="5A7A85DC">
      <w:pPr>
        <w:spacing w:before="114" w:line="205" w:lineRule="auto"/>
        <w:ind w:left="2877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7"/>
          <w:sz w:val="35"/>
          <w:szCs w:val="35"/>
        </w:rPr>
        <w:t>一、定标概况一览表</w:t>
      </w:r>
    </w:p>
    <w:tbl>
      <w:tblPr>
        <w:tblStyle w:val="5"/>
        <w:tblW w:w="88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57"/>
        <w:gridCol w:w="6126"/>
      </w:tblGrid>
      <w:tr w14:paraId="211730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757" w:type="dxa"/>
            <w:vAlign w:val="top"/>
          </w:tcPr>
          <w:p w14:paraId="6A6D38F4">
            <w:pPr>
              <w:spacing w:before="137" w:line="221" w:lineRule="auto"/>
              <w:ind w:left="12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项目名称</w:t>
            </w:r>
          </w:p>
        </w:tc>
        <w:tc>
          <w:tcPr>
            <w:tcW w:w="6126" w:type="dxa"/>
            <w:vAlign w:val="top"/>
          </w:tcPr>
          <w:p w14:paraId="024BBD50">
            <w:pPr>
              <w:pStyle w:val="6"/>
            </w:pPr>
          </w:p>
        </w:tc>
      </w:tr>
      <w:tr w14:paraId="3D4EDF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757" w:type="dxa"/>
            <w:vAlign w:val="top"/>
          </w:tcPr>
          <w:p w14:paraId="2D9966C3">
            <w:pPr>
              <w:spacing w:before="134" w:line="221" w:lineRule="auto"/>
              <w:ind w:left="11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标段名称</w:t>
            </w:r>
          </w:p>
        </w:tc>
        <w:tc>
          <w:tcPr>
            <w:tcW w:w="6126" w:type="dxa"/>
            <w:vAlign w:val="top"/>
          </w:tcPr>
          <w:p w14:paraId="732D62D2">
            <w:pPr>
              <w:pStyle w:val="6"/>
            </w:pPr>
          </w:p>
        </w:tc>
      </w:tr>
      <w:tr w14:paraId="55E055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2757" w:type="dxa"/>
            <w:vAlign w:val="top"/>
          </w:tcPr>
          <w:p w14:paraId="6BE12622">
            <w:pPr>
              <w:spacing w:before="132" w:line="221" w:lineRule="auto"/>
              <w:ind w:left="11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招标编号</w:t>
            </w:r>
          </w:p>
        </w:tc>
        <w:tc>
          <w:tcPr>
            <w:tcW w:w="6126" w:type="dxa"/>
            <w:vAlign w:val="top"/>
          </w:tcPr>
          <w:p w14:paraId="4948A8E6">
            <w:pPr>
              <w:pStyle w:val="6"/>
            </w:pPr>
          </w:p>
        </w:tc>
      </w:tr>
      <w:tr w14:paraId="134945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2757" w:type="dxa"/>
            <w:vAlign w:val="top"/>
          </w:tcPr>
          <w:p w14:paraId="4588DCF0">
            <w:pPr>
              <w:spacing w:before="309" w:line="220" w:lineRule="auto"/>
              <w:ind w:left="1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定标会时间及地点</w:t>
            </w:r>
          </w:p>
        </w:tc>
        <w:tc>
          <w:tcPr>
            <w:tcW w:w="6126" w:type="dxa"/>
            <w:vAlign w:val="top"/>
          </w:tcPr>
          <w:p w14:paraId="37E3E882">
            <w:pPr>
              <w:spacing w:before="133" w:line="239" w:lineRule="auto"/>
              <w:ind w:left="116" w:right="5240" w:firstLine="1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0"/>
                <w:sz w:val="28"/>
                <w:szCs w:val="28"/>
              </w:rPr>
              <w:t>时间：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26"/>
                <w:sz w:val="28"/>
                <w:szCs w:val="28"/>
              </w:rPr>
              <w:t>地点：</w:t>
            </w:r>
          </w:p>
        </w:tc>
      </w:tr>
      <w:tr w14:paraId="5A930D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757" w:type="dxa"/>
            <w:vAlign w:val="top"/>
          </w:tcPr>
          <w:p w14:paraId="6E8EDDA0">
            <w:pPr>
              <w:spacing w:before="149" w:line="220" w:lineRule="auto"/>
              <w:ind w:left="1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定标会主持人</w:t>
            </w:r>
          </w:p>
        </w:tc>
        <w:tc>
          <w:tcPr>
            <w:tcW w:w="6126" w:type="dxa"/>
            <w:vAlign w:val="top"/>
          </w:tcPr>
          <w:p w14:paraId="128992CD">
            <w:pPr>
              <w:pStyle w:val="6"/>
            </w:pPr>
          </w:p>
        </w:tc>
      </w:tr>
      <w:tr w14:paraId="6F13A2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757" w:type="dxa"/>
            <w:vAlign w:val="top"/>
          </w:tcPr>
          <w:p w14:paraId="4147A6FB">
            <w:pPr>
              <w:spacing w:before="157" w:line="220" w:lineRule="auto"/>
              <w:ind w:left="1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定标会记录人</w:t>
            </w:r>
          </w:p>
        </w:tc>
        <w:tc>
          <w:tcPr>
            <w:tcW w:w="6126" w:type="dxa"/>
            <w:vAlign w:val="top"/>
          </w:tcPr>
          <w:p w14:paraId="0AFFCD7E">
            <w:pPr>
              <w:pStyle w:val="6"/>
            </w:pPr>
          </w:p>
        </w:tc>
      </w:tr>
      <w:tr w14:paraId="5AF208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757" w:type="dxa"/>
            <w:vAlign w:val="top"/>
          </w:tcPr>
          <w:p w14:paraId="14D82456">
            <w:pPr>
              <w:spacing w:before="163" w:line="220" w:lineRule="auto"/>
              <w:ind w:left="1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定标委员会组长</w:t>
            </w:r>
          </w:p>
        </w:tc>
        <w:tc>
          <w:tcPr>
            <w:tcW w:w="6126" w:type="dxa"/>
            <w:vAlign w:val="top"/>
          </w:tcPr>
          <w:p w14:paraId="612BA102">
            <w:pPr>
              <w:pStyle w:val="6"/>
            </w:pPr>
          </w:p>
        </w:tc>
      </w:tr>
      <w:tr w14:paraId="72F4F2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757" w:type="dxa"/>
            <w:vAlign w:val="top"/>
          </w:tcPr>
          <w:p w14:paraId="2745EA12">
            <w:pPr>
              <w:spacing w:before="156" w:line="221" w:lineRule="auto"/>
              <w:ind w:left="1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定标监督小组组长</w:t>
            </w:r>
          </w:p>
        </w:tc>
        <w:tc>
          <w:tcPr>
            <w:tcW w:w="6126" w:type="dxa"/>
            <w:vAlign w:val="top"/>
          </w:tcPr>
          <w:p w14:paraId="4AD3C8D1">
            <w:pPr>
              <w:pStyle w:val="6"/>
            </w:pPr>
          </w:p>
        </w:tc>
      </w:tr>
      <w:tr w14:paraId="0C814D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2757" w:type="dxa"/>
            <w:vAlign w:val="top"/>
          </w:tcPr>
          <w:p w14:paraId="1ABB41D1">
            <w:pPr>
              <w:spacing w:before="161" w:line="221" w:lineRule="auto"/>
              <w:ind w:left="1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定标方法</w:t>
            </w:r>
          </w:p>
        </w:tc>
        <w:tc>
          <w:tcPr>
            <w:tcW w:w="6126" w:type="dxa"/>
            <w:vAlign w:val="top"/>
          </w:tcPr>
          <w:p w14:paraId="142EC3DD">
            <w:pPr>
              <w:pStyle w:val="6"/>
            </w:pPr>
          </w:p>
        </w:tc>
      </w:tr>
      <w:tr w14:paraId="3825C3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2757" w:type="dxa"/>
            <w:vMerge w:val="restart"/>
            <w:tcBorders>
              <w:bottom w:val="nil"/>
            </w:tcBorders>
            <w:vAlign w:val="top"/>
          </w:tcPr>
          <w:p w14:paraId="4D751567">
            <w:pPr>
              <w:pStyle w:val="6"/>
              <w:spacing w:line="258" w:lineRule="auto"/>
            </w:pPr>
          </w:p>
          <w:p w14:paraId="08253C89">
            <w:pPr>
              <w:pStyle w:val="6"/>
              <w:spacing w:line="258" w:lineRule="auto"/>
            </w:pPr>
          </w:p>
          <w:p w14:paraId="16D22ED9">
            <w:pPr>
              <w:pStyle w:val="6"/>
              <w:spacing w:line="258" w:lineRule="auto"/>
            </w:pPr>
          </w:p>
          <w:p w14:paraId="786E8713">
            <w:pPr>
              <w:pStyle w:val="6"/>
              <w:spacing w:line="259" w:lineRule="auto"/>
            </w:pPr>
          </w:p>
          <w:p w14:paraId="3BA3653E">
            <w:pPr>
              <w:spacing w:before="91" w:line="236" w:lineRule="auto"/>
              <w:ind w:left="126" w:right="683" w:firstLine="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6"/>
                <w:sz w:val="28"/>
                <w:szCs w:val="28"/>
              </w:rPr>
              <w:t>中标候选人名单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（不标明排序）</w:t>
            </w:r>
          </w:p>
        </w:tc>
        <w:tc>
          <w:tcPr>
            <w:tcW w:w="6126" w:type="dxa"/>
            <w:vAlign w:val="top"/>
          </w:tcPr>
          <w:p w14:paraId="66B5A6BF">
            <w:pPr>
              <w:pStyle w:val="6"/>
            </w:pPr>
          </w:p>
        </w:tc>
      </w:tr>
      <w:tr w14:paraId="2CB7DF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2757" w:type="dxa"/>
            <w:vMerge w:val="continue"/>
            <w:tcBorders>
              <w:top w:val="nil"/>
              <w:bottom w:val="nil"/>
            </w:tcBorders>
            <w:vAlign w:val="top"/>
          </w:tcPr>
          <w:p w14:paraId="52271430">
            <w:pPr>
              <w:pStyle w:val="6"/>
            </w:pPr>
          </w:p>
        </w:tc>
        <w:tc>
          <w:tcPr>
            <w:tcW w:w="6126" w:type="dxa"/>
            <w:vAlign w:val="top"/>
          </w:tcPr>
          <w:p w14:paraId="67FAA7E4">
            <w:pPr>
              <w:pStyle w:val="6"/>
            </w:pPr>
          </w:p>
        </w:tc>
      </w:tr>
      <w:tr w14:paraId="7EF603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2757" w:type="dxa"/>
            <w:vMerge w:val="continue"/>
            <w:tcBorders>
              <w:top w:val="nil"/>
              <w:bottom w:val="nil"/>
            </w:tcBorders>
            <w:vAlign w:val="top"/>
          </w:tcPr>
          <w:p w14:paraId="119F24A1">
            <w:pPr>
              <w:pStyle w:val="6"/>
            </w:pPr>
          </w:p>
        </w:tc>
        <w:tc>
          <w:tcPr>
            <w:tcW w:w="6126" w:type="dxa"/>
            <w:vAlign w:val="top"/>
          </w:tcPr>
          <w:p w14:paraId="144D34A9">
            <w:pPr>
              <w:pStyle w:val="6"/>
            </w:pPr>
          </w:p>
        </w:tc>
      </w:tr>
      <w:tr w14:paraId="0ADD8A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2757" w:type="dxa"/>
            <w:vMerge w:val="continue"/>
            <w:tcBorders>
              <w:top w:val="nil"/>
              <w:bottom w:val="nil"/>
            </w:tcBorders>
            <w:vAlign w:val="top"/>
          </w:tcPr>
          <w:p w14:paraId="678C19E2">
            <w:pPr>
              <w:pStyle w:val="6"/>
            </w:pPr>
          </w:p>
        </w:tc>
        <w:tc>
          <w:tcPr>
            <w:tcW w:w="6126" w:type="dxa"/>
            <w:vAlign w:val="top"/>
          </w:tcPr>
          <w:p w14:paraId="166A65CC">
            <w:pPr>
              <w:pStyle w:val="6"/>
            </w:pPr>
          </w:p>
        </w:tc>
      </w:tr>
      <w:tr w14:paraId="714302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2757" w:type="dxa"/>
            <w:vMerge w:val="continue"/>
            <w:tcBorders>
              <w:top w:val="nil"/>
            </w:tcBorders>
            <w:vAlign w:val="top"/>
          </w:tcPr>
          <w:p w14:paraId="2AF027A8">
            <w:pPr>
              <w:pStyle w:val="6"/>
            </w:pPr>
          </w:p>
        </w:tc>
        <w:tc>
          <w:tcPr>
            <w:tcW w:w="6126" w:type="dxa"/>
            <w:vAlign w:val="top"/>
          </w:tcPr>
          <w:p w14:paraId="5E0B46A6">
            <w:pPr>
              <w:pStyle w:val="6"/>
            </w:pPr>
          </w:p>
        </w:tc>
      </w:tr>
      <w:tr w14:paraId="1392E6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3" w:hRule="atLeast"/>
        </w:trPr>
        <w:tc>
          <w:tcPr>
            <w:tcW w:w="2757" w:type="dxa"/>
            <w:vAlign w:val="top"/>
          </w:tcPr>
          <w:p w14:paraId="3E00F545">
            <w:pPr>
              <w:pStyle w:val="6"/>
              <w:spacing w:line="244" w:lineRule="auto"/>
            </w:pPr>
          </w:p>
          <w:p w14:paraId="6681ED63">
            <w:pPr>
              <w:pStyle w:val="6"/>
              <w:spacing w:line="244" w:lineRule="auto"/>
            </w:pPr>
          </w:p>
          <w:p w14:paraId="113EE116">
            <w:pPr>
              <w:pStyle w:val="6"/>
              <w:spacing w:line="244" w:lineRule="auto"/>
            </w:pPr>
          </w:p>
          <w:p w14:paraId="6B620FFA">
            <w:pPr>
              <w:pStyle w:val="6"/>
              <w:spacing w:line="244" w:lineRule="auto"/>
            </w:pPr>
          </w:p>
          <w:p w14:paraId="40DE99F7">
            <w:pPr>
              <w:pStyle w:val="6"/>
              <w:spacing w:line="244" w:lineRule="auto"/>
            </w:pPr>
          </w:p>
          <w:p w14:paraId="5C35F999">
            <w:pPr>
              <w:pStyle w:val="6"/>
              <w:spacing w:line="245" w:lineRule="auto"/>
            </w:pPr>
          </w:p>
          <w:p w14:paraId="6356683A">
            <w:pPr>
              <w:pStyle w:val="6"/>
              <w:spacing w:line="245" w:lineRule="auto"/>
            </w:pPr>
          </w:p>
          <w:p w14:paraId="3980DB20">
            <w:pPr>
              <w:spacing w:before="91" w:line="220" w:lineRule="auto"/>
              <w:ind w:left="1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定标会议资料</w:t>
            </w:r>
          </w:p>
        </w:tc>
        <w:tc>
          <w:tcPr>
            <w:tcW w:w="6126" w:type="dxa"/>
            <w:vAlign w:val="top"/>
          </w:tcPr>
          <w:p w14:paraId="11DE6C10">
            <w:pPr>
              <w:spacing w:before="114" w:line="236" w:lineRule="auto"/>
              <w:ind w:left="111" w:right="504" w:firstLine="2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1.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资格预审文件、资格预审申请文件（如有）</w:t>
            </w: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2.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资格预审报告（如有）</w:t>
            </w:r>
          </w:p>
          <w:p w14:paraId="3AE3F53B">
            <w:pPr>
              <w:spacing w:before="44" w:line="236" w:lineRule="auto"/>
              <w:ind w:left="109" w:right="3286" w:firstLine="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3.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招标文件、投标文件</w:t>
            </w: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4.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评标报告</w:t>
            </w:r>
          </w:p>
          <w:p w14:paraId="3A0CE79D">
            <w:pPr>
              <w:spacing w:before="44" w:line="237" w:lineRule="auto"/>
              <w:ind w:left="117" w:right="2184" w:firstLine="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5.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清标与考察工作方案（如有）</w:t>
            </w: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6.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清标与考察报告（如有）</w:t>
            </w:r>
          </w:p>
          <w:p w14:paraId="01F48BCF">
            <w:pPr>
              <w:spacing w:before="40" w:line="220" w:lineRule="auto"/>
              <w:ind w:left="1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>7.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定标会议议程</w:t>
            </w:r>
          </w:p>
          <w:p w14:paraId="486E3B3C">
            <w:pPr>
              <w:spacing w:before="45" w:line="221" w:lineRule="auto"/>
              <w:ind w:left="12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8.</w:t>
            </w:r>
            <w:r>
              <w:rPr>
                <w:rFonts w:ascii="Times New Roman" w:hAnsi="Times New Roman" w:eastAsia="Times New Roman" w:cs="Times New Roman"/>
                <w:spacing w:val="-36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中标候选人答辩工作方案（如有）</w:t>
            </w:r>
          </w:p>
          <w:p w14:paraId="659535FA">
            <w:pPr>
              <w:spacing w:before="259" w:line="87" w:lineRule="exact"/>
              <w:ind w:left="13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8"/>
                <w:szCs w:val="28"/>
              </w:rPr>
              <w:t>……</w:t>
            </w:r>
          </w:p>
          <w:p w14:paraId="714C68FE">
            <w:pPr>
              <w:spacing w:before="80" w:line="219" w:lineRule="auto"/>
              <w:ind w:left="13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除</w:t>
            </w:r>
            <w:r>
              <w:rPr>
                <w:rFonts w:ascii="宋体" w:hAnsi="宋体" w:eastAsia="宋体" w:cs="宋体"/>
                <w:spacing w:val="-3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 xml:space="preserve">1-4 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项外，上述资料应作为定标报告的附件</w:t>
            </w:r>
          </w:p>
        </w:tc>
      </w:tr>
    </w:tbl>
    <w:p w14:paraId="4C84E1E6">
      <w:pPr>
        <w:rPr>
          <w:rFonts w:ascii="Arial"/>
          <w:sz w:val="21"/>
        </w:rPr>
      </w:pPr>
    </w:p>
    <w:p w14:paraId="50662BD2">
      <w:pPr>
        <w:rPr>
          <w:rFonts w:ascii="Arial" w:hAnsi="Arial" w:eastAsia="Arial" w:cs="Arial"/>
          <w:sz w:val="21"/>
          <w:szCs w:val="21"/>
        </w:rPr>
        <w:sectPr>
          <w:footerReference r:id="rId23" w:type="default"/>
          <w:pgSz w:w="11906" w:h="16839"/>
          <w:pgMar w:top="400" w:right="1543" w:bottom="1400" w:left="1474" w:header="0" w:footer="1147" w:gutter="0"/>
          <w:cols w:space="720" w:num="1"/>
        </w:sectPr>
      </w:pPr>
    </w:p>
    <w:p w14:paraId="17765C8B">
      <w:pPr>
        <w:spacing w:line="282" w:lineRule="auto"/>
        <w:rPr>
          <w:rFonts w:ascii="Arial"/>
          <w:sz w:val="21"/>
        </w:rPr>
      </w:pPr>
    </w:p>
    <w:p w14:paraId="67F3CA6A">
      <w:pPr>
        <w:spacing w:line="282" w:lineRule="auto"/>
        <w:rPr>
          <w:rFonts w:ascii="Arial"/>
          <w:sz w:val="21"/>
        </w:rPr>
      </w:pPr>
    </w:p>
    <w:p w14:paraId="71B948FB">
      <w:pPr>
        <w:spacing w:line="283" w:lineRule="auto"/>
        <w:rPr>
          <w:rFonts w:ascii="Arial"/>
          <w:sz w:val="21"/>
        </w:rPr>
      </w:pPr>
    </w:p>
    <w:p w14:paraId="79969DCF">
      <w:pPr>
        <w:spacing w:line="283" w:lineRule="auto"/>
        <w:rPr>
          <w:rFonts w:ascii="Arial"/>
          <w:sz w:val="21"/>
        </w:rPr>
      </w:pPr>
    </w:p>
    <w:p w14:paraId="7B3F4372">
      <w:pPr>
        <w:spacing w:line="283" w:lineRule="auto"/>
        <w:rPr>
          <w:rFonts w:ascii="Arial"/>
          <w:sz w:val="21"/>
        </w:rPr>
      </w:pPr>
    </w:p>
    <w:p w14:paraId="2AD136E5">
      <w:pPr>
        <w:spacing w:before="114" w:line="226" w:lineRule="auto"/>
        <w:ind w:left="5131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8"/>
          <w:sz w:val="35"/>
          <w:szCs w:val="35"/>
        </w:rPr>
        <w:t>二、定标委员会成员名单</w:t>
      </w:r>
    </w:p>
    <w:p w14:paraId="31D1DA41">
      <w:pPr>
        <w:spacing w:before="132"/>
      </w:pPr>
    </w:p>
    <w:tbl>
      <w:tblPr>
        <w:tblStyle w:val="5"/>
        <w:tblW w:w="1404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6"/>
        <w:gridCol w:w="1562"/>
        <w:gridCol w:w="5115"/>
        <w:gridCol w:w="1989"/>
        <w:gridCol w:w="2131"/>
        <w:gridCol w:w="2278"/>
      </w:tblGrid>
      <w:tr w14:paraId="74202B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966" w:type="dxa"/>
            <w:vAlign w:val="top"/>
          </w:tcPr>
          <w:p w14:paraId="2EB61E62">
            <w:pPr>
              <w:pStyle w:val="6"/>
              <w:spacing w:line="245" w:lineRule="auto"/>
            </w:pPr>
          </w:p>
          <w:p w14:paraId="701EA937">
            <w:pPr>
              <w:spacing w:before="121" w:line="184" w:lineRule="auto"/>
              <w:ind w:left="201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序号</w:t>
            </w:r>
          </w:p>
        </w:tc>
        <w:tc>
          <w:tcPr>
            <w:tcW w:w="1562" w:type="dxa"/>
            <w:vAlign w:val="top"/>
          </w:tcPr>
          <w:p w14:paraId="2C5E7B06">
            <w:pPr>
              <w:pStyle w:val="6"/>
              <w:spacing w:line="247" w:lineRule="auto"/>
            </w:pPr>
          </w:p>
          <w:p w14:paraId="42BEEE3E">
            <w:pPr>
              <w:spacing w:before="121" w:line="183" w:lineRule="auto"/>
              <w:ind w:left="430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姓</w:t>
            </w:r>
            <w:r>
              <w:rPr>
                <w:rFonts w:ascii="微软雅黑" w:hAnsi="微软雅黑" w:eastAsia="微软雅黑" w:cs="微软雅黑"/>
                <w:spacing w:val="58"/>
                <w:w w:val="101"/>
                <w:sz w:val="28"/>
                <w:szCs w:val="2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名</w:t>
            </w:r>
          </w:p>
        </w:tc>
        <w:tc>
          <w:tcPr>
            <w:tcW w:w="5115" w:type="dxa"/>
            <w:vAlign w:val="top"/>
          </w:tcPr>
          <w:p w14:paraId="66CEAFF1">
            <w:pPr>
              <w:pStyle w:val="6"/>
              <w:spacing w:line="245" w:lineRule="auto"/>
            </w:pPr>
          </w:p>
          <w:p w14:paraId="0F8D385D">
            <w:pPr>
              <w:spacing w:before="121" w:line="184" w:lineRule="auto"/>
              <w:ind w:left="2001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工作单位</w:t>
            </w:r>
          </w:p>
        </w:tc>
        <w:tc>
          <w:tcPr>
            <w:tcW w:w="1989" w:type="dxa"/>
            <w:vAlign w:val="top"/>
          </w:tcPr>
          <w:p w14:paraId="4CAD5771">
            <w:pPr>
              <w:spacing w:before="343" w:line="221" w:lineRule="auto"/>
              <w:ind w:left="157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3"/>
                <w:sz w:val="28"/>
                <w:szCs w:val="28"/>
              </w:rPr>
              <w:t>职称（职务）</w:t>
            </w:r>
          </w:p>
        </w:tc>
        <w:tc>
          <w:tcPr>
            <w:tcW w:w="2131" w:type="dxa"/>
            <w:vAlign w:val="top"/>
          </w:tcPr>
          <w:p w14:paraId="46E33B7A">
            <w:pPr>
              <w:spacing w:before="195" w:line="199" w:lineRule="auto"/>
              <w:ind w:left="367" w:right="360" w:firstLine="141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在定标中</w:t>
            </w:r>
            <w:r>
              <w:rPr>
                <w:rFonts w:ascii="微软雅黑" w:hAnsi="微软雅黑" w:eastAsia="微软雅黑" w:cs="微软雅黑"/>
                <w:sz w:val="28"/>
                <w:szCs w:val="28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承担的工作</w:t>
            </w:r>
          </w:p>
        </w:tc>
        <w:tc>
          <w:tcPr>
            <w:tcW w:w="2278" w:type="dxa"/>
            <w:vAlign w:val="top"/>
          </w:tcPr>
          <w:p w14:paraId="5A09713E">
            <w:pPr>
              <w:pStyle w:val="6"/>
              <w:spacing w:line="249" w:lineRule="auto"/>
            </w:pPr>
          </w:p>
          <w:p w14:paraId="0A3AAC78">
            <w:pPr>
              <w:spacing w:before="121" w:line="182" w:lineRule="auto"/>
              <w:ind w:left="581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联系电话</w:t>
            </w:r>
          </w:p>
        </w:tc>
      </w:tr>
      <w:tr w14:paraId="680CB8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66" w:type="dxa"/>
            <w:vAlign w:val="top"/>
          </w:tcPr>
          <w:p w14:paraId="4550F604">
            <w:pPr>
              <w:spacing w:before="220" w:line="189" w:lineRule="auto"/>
              <w:ind w:left="44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  <w:vAlign w:val="top"/>
          </w:tcPr>
          <w:p w14:paraId="5AEC6864">
            <w:pPr>
              <w:pStyle w:val="6"/>
            </w:pPr>
          </w:p>
        </w:tc>
        <w:tc>
          <w:tcPr>
            <w:tcW w:w="5115" w:type="dxa"/>
            <w:vAlign w:val="top"/>
          </w:tcPr>
          <w:p w14:paraId="25EB1C07">
            <w:pPr>
              <w:pStyle w:val="6"/>
            </w:pPr>
          </w:p>
        </w:tc>
        <w:tc>
          <w:tcPr>
            <w:tcW w:w="1989" w:type="dxa"/>
            <w:vAlign w:val="top"/>
          </w:tcPr>
          <w:p w14:paraId="75BFE0E6">
            <w:pPr>
              <w:pStyle w:val="6"/>
            </w:pPr>
          </w:p>
        </w:tc>
        <w:tc>
          <w:tcPr>
            <w:tcW w:w="2131" w:type="dxa"/>
            <w:vAlign w:val="top"/>
          </w:tcPr>
          <w:p w14:paraId="20B5180E">
            <w:pPr>
              <w:pStyle w:val="6"/>
            </w:pPr>
          </w:p>
        </w:tc>
        <w:tc>
          <w:tcPr>
            <w:tcW w:w="2278" w:type="dxa"/>
            <w:vAlign w:val="top"/>
          </w:tcPr>
          <w:p w14:paraId="1C1204F3">
            <w:pPr>
              <w:pStyle w:val="6"/>
            </w:pPr>
          </w:p>
        </w:tc>
      </w:tr>
      <w:tr w14:paraId="10E405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66" w:type="dxa"/>
            <w:vAlign w:val="top"/>
          </w:tcPr>
          <w:p w14:paraId="2CDA2801">
            <w:pPr>
              <w:spacing w:before="220" w:line="189" w:lineRule="auto"/>
              <w:ind w:left="41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562" w:type="dxa"/>
            <w:vAlign w:val="top"/>
          </w:tcPr>
          <w:p w14:paraId="4389DFF8">
            <w:pPr>
              <w:pStyle w:val="6"/>
            </w:pPr>
          </w:p>
        </w:tc>
        <w:tc>
          <w:tcPr>
            <w:tcW w:w="5115" w:type="dxa"/>
            <w:vAlign w:val="top"/>
          </w:tcPr>
          <w:p w14:paraId="53D5F898">
            <w:pPr>
              <w:pStyle w:val="6"/>
            </w:pPr>
          </w:p>
        </w:tc>
        <w:tc>
          <w:tcPr>
            <w:tcW w:w="1989" w:type="dxa"/>
            <w:vAlign w:val="top"/>
          </w:tcPr>
          <w:p w14:paraId="7C96D202">
            <w:pPr>
              <w:pStyle w:val="6"/>
            </w:pPr>
          </w:p>
        </w:tc>
        <w:tc>
          <w:tcPr>
            <w:tcW w:w="2131" w:type="dxa"/>
            <w:vAlign w:val="top"/>
          </w:tcPr>
          <w:p w14:paraId="31DD6D5B">
            <w:pPr>
              <w:pStyle w:val="6"/>
            </w:pPr>
          </w:p>
        </w:tc>
        <w:tc>
          <w:tcPr>
            <w:tcW w:w="2278" w:type="dxa"/>
            <w:vAlign w:val="top"/>
          </w:tcPr>
          <w:p w14:paraId="1074E064">
            <w:pPr>
              <w:pStyle w:val="6"/>
            </w:pPr>
          </w:p>
        </w:tc>
      </w:tr>
      <w:tr w14:paraId="247FF6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66" w:type="dxa"/>
            <w:vAlign w:val="top"/>
          </w:tcPr>
          <w:p w14:paraId="24C8D671">
            <w:pPr>
              <w:spacing w:before="221" w:line="189" w:lineRule="auto"/>
              <w:ind w:left="42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562" w:type="dxa"/>
            <w:vAlign w:val="top"/>
          </w:tcPr>
          <w:p w14:paraId="18964ACB">
            <w:pPr>
              <w:pStyle w:val="6"/>
            </w:pPr>
          </w:p>
        </w:tc>
        <w:tc>
          <w:tcPr>
            <w:tcW w:w="5115" w:type="dxa"/>
            <w:vAlign w:val="top"/>
          </w:tcPr>
          <w:p w14:paraId="2D31D670">
            <w:pPr>
              <w:pStyle w:val="6"/>
            </w:pPr>
          </w:p>
        </w:tc>
        <w:tc>
          <w:tcPr>
            <w:tcW w:w="1989" w:type="dxa"/>
            <w:vAlign w:val="top"/>
          </w:tcPr>
          <w:p w14:paraId="29D5AE38">
            <w:pPr>
              <w:pStyle w:val="6"/>
            </w:pPr>
          </w:p>
        </w:tc>
        <w:tc>
          <w:tcPr>
            <w:tcW w:w="2131" w:type="dxa"/>
            <w:vAlign w:val="top"/>
          </w:tcPr>
          <w:p w14:paraId="372CB0D4">
            <w:pPr>
              <w:pStyle w:val="6"/>
            </w:pPr>
          </w:p>
        </w:tc>
        <w:tc>
          <w:tcPr>
            <w:tcW w:w="2278" w:type="dxa"/>
            <w:vAlign w:val="top"/>
          </w:tcPr>
          <w:p w14:paraId="09D9F8D5">
            <w:pPr>
              <w:pStyle w:val="6"/>
            </w:pPr>
          </w:p>
        </w:tc>
      </w:tr>
      <w:tr w14:paraId="2C4F67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66" w:type="dxa"/>
            <w:vAlign w:val="top"/>
          </w:tcPr>
          <w:p w14:paraId="64EC32E6">
            <w:pPr>
              <w:spacing w:before="221" w:line="189" w:lineRule="auto"/>
              <w:ind w:left="41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1562" w:type="dxa"/>
            <w:vAlign w:val="top"/>
          </w:tcPr>
          <w:p w14:paraId="490C23DA">
            <w:pPr>
              <w:pStyle w:val="6"/>
            </w:pPr>
          </w:p>
        </w:tc>
        <w:tc>
          <w:tcPr>
            <w:tcW w:w="5115" w:type="dxa"/>
            <w:vAlign w:val="top"/>
          </w:tcPr>
          <w:p w14:paraId="50E5C33A">
            <w:pPr>
              <w:pStyle w:val="6"/>
            </w:pPr>
          </w:p>
        </w:tc>
        <w:tc>
          <w:tcPr>
            <w:tcW w:w="1989" w:type="dxa"/>
            <w:vAlign w:val="top"/>
          </w:tcPr>
          <w:p w14:paraId="3D469364">
            <w:pPr>
              <w:pStyle w:val="6"/>
            </w:pPr>
          </w:p>
        </w:tc>
        <w:tc>
          <w:tcPr>
            <w:tcW w:w="2131" w:type="dxa"/>
            <w:vAlign w:val="top"/>
          </w:tcPr>
          <w:p w14:paraId="6948FE20">
            <w:pPr>
              <w:pStyle w:val="6"/>
            </w:pPr>
          </w:p>
        </w:tc>
        <w:tc>
          <w:tcPr>
            <w:tcW w:w="2278" w:type="dxa"/>
            <w:vAlign w:val="top"/>
          </w:tcPr>
          <w:p w14:paraId="0C8139A1">
            <w:pPr>
              <w:pStyle w:val="6"/>
            </w:pPr>
          </w:p>
        </w:tc>
      </w:tr>
      <w:tr w14:paraId="0A3852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66" w:type="dxa"/>
            <w:vAlign w:val="top"/>
          </w:tcPr>
          <w:p w14:paraId="5086A6CC">
            <w:pPr>
              <w:spacing w:before="226" w:line="186" w:lineRule="auto"/>
              <w:ind w:left="42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1562" w:type="dxa"/>
            <w:vAlign w:val="top"/>
          </w:tcPr>
          <w:p w14:paraId="2BDF1CCB">
            <w:pPr>
              <w:pStyle w:val="6"/>
            </w:pPr>
          </w:p>
        </w:tc>
        <w:tc>
          <w:tcPr>
            <w:tcW w:w="5115" w:type="dxa"/>
            <w:vAlign w:val="top"/>
          </w:tcPr>
          <w:p w14:paraId="6DBEA046">
            <w:pPr>
              <w:pStyle w:val="6"/>
            </w:pPr>
          </w:p>
        </w:tc>
        <w:tc>
          <w:tcPr>
            <w:tcW w:w="1989" w:type="dxa"/>
            <w:vAlign w:val="top"/>
          </w:tcPr>
          <w:p w14:paraId="5563884B">
            <w:pPr>
              <w:pStyle w:val="6"/>
            </w:pPr>
          </w:p>
        </w:tc>
        <w:tc>
          <w:tcPr>
            <w:tcW w:w="2131" w:type="dxa"/>
            <w:vAlign w:val="top"/>
          </w:tcPr>
          <w:p w14:paraId="4F96563F">
            <w:pPr>
              <w:pStyle w:val="6"/>
            </w:pPr>
          </w:p>
        </w:tc>
        <w:tc>
          <w:tcPr>
            <w:tcW w:w="2278" w:type="dxa"/>
            <w:vAlign w:val="top"/>
          </w:tcPr>
          <w:p w14:paraId="6EB04B91">
            <w:pPr>
              <w:pStyle w:val="6"/>
            </w:pPr>
          </w:p>
        </w:tc>
      </w:tr>
      <w:tr w14:paraId="1DF517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66" w:type="dxa"/>
            <w:vAlign w:val="top"/>
          </w:tcPr>
          <w:p w14:paraId="3B7FED1F">
            <w:pPr>
              <w:spacing w:before="221" w:line="189" w:lineRule="auto"/>
              <w:ind w:left="42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1562" w:type="dxa"/>
            <w:vAlign w:val="top"/>
          </w:tcPr>
          <w:p w14:paraId="2E6A8C2F">
            <w:pPr>
              <w:pStyle w:val="6"/>
            </w:pPr>
          </w:p>
        </w:tc>
        <w:tc>
          <w:tcPr>
            <w:tcW w:w="5115" w:type="dxa"/>
            <w:vAlign w:val="top"/>
          </w:tcPr>
          <w:p w14:paraId="3F2F26DD">
            <w:pPr>
              <w:pStyle w:val="6"/>
            </w:pPr>
          </w:p>
        </w:tc>
        <w:tc>
          <w:tcPr>
            <w:tcW w:w="1989" w:type="dxa"/>
            <w:vAlign w:val="top"/>
          </w:tcPr>
          <w:p w14:paraId="05068B6F">
            <w:pPr>
              <w:pStyle w:val="6"/>
            </w:pPr>
          </w:p>
        </w:tc>
        <w:tc>
          <w:tcPr>
            <w:tcW w:w="2131" w:type="dxa"/>
            <w:vAlign w:val="top"/>
          </w:tcPr>
          <w:p w14:paraId="33C0CA89">
            <w:pPr>
              <w:pStyle w:val="6"/>
            </w:pPr>
          </w:p>
        </w:tc>
        <w:tc>
          <w:tcPr>
            <w:tcW w:w="2278" w:type="dxa"/>
            <w:vAlign w:val="top"/>
          </w:tcPr>
          <w:p w14:paraId="4D30B5F3">
            <w:pPr>
              <w:pStyle w:val="6"/>
            </w:pPr>
          </w:p>
        </w:tc>
      </w:tr>
      <w:tr w14:paraId="5DA123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66" w:type="dxa"/>
            <w:vAlign w:val="top"/>
          </w:tcPr>
          <w:p w14:paraId="4ED2F5D2">
            <w:pPr>
              <w:spacing w:before="225" w:line="186" w:lineRule="auto"/>
              <w:ind w:left="42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1562" w:type="dxa"/>
            <w:vAlign w:val="top"/>
          </w:tcPr>
          <w:p w14:paraId="18911655">
            <w:pPr>
              <w:pStyle w:val="6"/>
            </w:pPr>
          </w:p>
        </w:tc>
        <w:tc>
          <w:tcPr>
            <w:tcW w:w="5115" w:type="dxa"/>
            <w:vAlign w:val="top"/>
          </w:tcPr>
          <w:p w14:paraId="47AD9293">
            <w:pPr>
              <w:pStyle w:val="6"/>
            </w:pPr>
          </w:p>
        </w:tc>
        <w:tc>
          <w:tcPr>
            <w:tcW w:w="1989" w:type="dxa"/>
            <w:vAlign w:val="top"/>
          </w:tcPr>
          <w:p w14:paraId="23434456">
            <w:pPr>
              <w:pStyle w:val="6"/>
            </w:pPr>
          </w:p>
        </w:tc>
        <w:tc>
          <w:tcPr>
            <w:tcW w:w="2131" w:type="dxa"/>
            <w:vAlign w:val="top"/>
          </w:tcPr>
          <w:p w14:paraId="048812A1">
            <w:pPr>
              <w:pStyle w:val="6"/>
            </w:pPr>
          </w:p>
        </w:tc>
        <w:tc>
          <w:tcPr>
            <w:tcW w:w="2278" w:type="dxa"/>
            <w:vAlign w:val="top"/>
          </w:tcPr>
          <w:p w14:paraId="222421F5">
            <w:pPr>
              <w:pStyle w:val="6"/>
            </w:pPr>
          </w:p>
        </w:tc>
      </w:tr>
      <w:tr w14:paraId="36B68A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66" w:type="dxa"/>
            <w:vAlign w:val="top"/>
          </w:tcPr>
          <w:p w14:paraId="5C5FF39B">
            <w:pPr>
              <w:spacing w:before="223" w:line="189" w:lineRule="auto"/>
              <w:ind w:left="42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1562" w:type="dxa"/>
            <w:vAlign w:val="top"/>
          </w:tcPr>
          <w:p w14:paraId="5F3527C8">
            <w:pPr>
              <w:pStyle w:val="6"/>
            </w:pPr>
          </w:p>
        </w:tc>
        <w:tc>
          <w:tcPr>
            <w:tcW w:w="5115" w:type="dxa"/>
            <w:vAlign w:val="top"/>
          </w:tcPr>
          <w:p w14:paraId="6BB1594D">
            <w:pPr>
              <w:pStyle w:val="6"/>
            </w:pPr>
          </w:p>
        </w:tc>
        <w:tc>
          <w:tcPr>
            <w:tcW w:w="1989" w:type="dxa"/>
            <w:vAlign w:val="top"/>
          </w:tcPr>
          <w:p w14:paraId="4D6EF34A">
            <w:pPr>
              <w:pStyle w:val="6"/>
            </w:pPr>
          </w:p>
        </w:tc>
        <w:tc>
          <w:tcPr>
            <w:tcW w:w="2131" w:type="dxa"/>
            <w:vAlign w:val="top"/>
          </w:tcPr>
          <w:p w14:paraId="52696531">
            <w:pPr>
              <w:pStyle w:val="6"/>
            </w:pPr>
          </w:p>
        </w:tc>
        <w:tc>
          <w:tcPr>
            <w:tcW w:w="2278" w:type="dxa"/>
            <w:vAlign w:val="top"/>
          </w:tcPr>
          <w:p w14:paraId="51F71693">
            <w:pPr>
              <w:pStyle w:val="6"/>
            </w:pPr>
          </w:p>
        </w:tc>
      </w:tr>
      <w:tr w14:paraId="1D5E2C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9" w:hRule="atLeast"/>
        </w:trPr>
        <w:tc>
          <w:tcPr>
            <w:tcW w:w="966" w:type="dxa"/>
            <w:vAlign w:val="top"/>
          </w:tcPr>
          <w:p w14:paraId="5EEC92FF">
            <w:pPr>
              <w:spacing w:before="227" w:line="189" w:lineRule="auto"/>
              <w:ind w:left="42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1562" w:type="dxa"/>
            <w:vAlign w:val="top"/>
          </w:tcPr>
          <w:p w14:paraId="5BDDB539">
            <w:pPr>
              <w:pStyle w:val="6"/>
            </w:pPr>
          </w:p>
        </w:tc>
        <w:tc>
          <w:tcPr>
            <w:tcW w:w="5115" w:type="dxa"/>
            <w:vAlign w:val="top"/>
          </w:tcPr>
          <w:p w14:paraId="5507F0CC">
            <w:pPr>
              <w:pStyle w:val="6"/>
            </w:pPr>
          </w:p>
        </w:tc>
        <w:tc>
          <w:tcPr>
            <w:tcW w:w="1989" w:type="dxa"/>
            <w:vAlign w:val="top"/>
          </w:tcPr>
          <w:p w14:paraId="076D6695">
            <w:pPr>
              <w:pStyle w:val="6"/>
            </w:pPr>
          </w:p>
        </w:tc>
        <w:tc>
          <w:tcPr>
            <w:tcW w:w="2131" w:type="dxa"/>
            <w:vAlign w:val="top"/>
          </w:tcPr>
          <w:p w14:paraId="617C2F73">
            <w:pPr>
              <w:pStyle w:val="6"/>
            </w:pPr>
          </w:p>
        </w:tc>
        <w:tc>
          <w:tcPr>
            <w:tcW w:w="2278" w:type="dxa"/>
            <w:vAlign w:val="top"/>
          </w:tcPr>
          <w:p w14:paraId="6AFF3E08">
            <w:pPr>
              <w:pStyle w:val="6"/>
            </w:pPr>
          </w:p>
        </w:tc>
      </w:tr>
    </w:tbl>
    <w:p w14:paraId="0EA14281">
      <w:pPr>
        <w:rPr>
          <w:rFonts w:ascii="Arial"/>
          <w:sz w:val="21"/>
        </w:rPr>
      </w:pPr>
    </w:p>
    <w:p w14:paraId="295BF8B2">
      <w:pPr>
        <w:rPr>
          <w:rFonts w:ascii="Arial" w:hAnsi="Arial" w:eastAsia="Arial" w:cs="Arial"/>
          <w:sz w:val="21"/>
          <w:szCs w:val="21"/>
        </w:rPr>
        <w:sectPr>
          <w:footerReference r:id="rId24" w:type="default"/>
          <w:pgSz w:w="16839" w:h="11906"/>
          <w:pgMar w:top="400" w:right="1464" w:bottom="1400" w:left="1327" w:header="0" w:footer="1147" w:gutter="0"/>
          <w:cols w:space="720" w:num="1"/>
        </w:sectPr>
      </w:pPr>
    </w:p>
    <w:p w14:paraId="56FFDF40">
      <w:pPr>
        <w:spacing w:line="282" w:lineRule="auto"/>
        <w:rPr>
          <w:rFonts w:ascii="Arial"/>
          <w:sz w:val="21"/>
        </w:rPr>
      </w:pPr>
    </w:p>
    <w:p w14:paraId="14A80967">
      <w:pPr>
        <w:spacing w:line="282" w:lineRule="auto"/>
        <w:rPr>
          <w:rFonts w:ascii="Arial"/>
          <w:sz w:val="21"/>
        </w:rPr>
      </w:pPr>
    </w:p>
    <w:p w14:paraId="6FEA08B6">
      <w:pPr>
        <w:spacing w:line="283" w:lineRule="auto"/>
        <w:rPr>
          <w:rFonts w:ascii="Arial"/>
          <w:sz w:val="21"/>
        </w:rPr>
      </w:pPr>
    </w:p>
    <w:p w14:paraId="7F805FA3">
      <w:pPr>
        <w:spacing w:line="283" w:lineRule="auto"/>
        <w:rPr>
          <w:rFonts w:ascii="Arial"/>
          <w:sz w:val="21"/>
        </w:rPr>
      </w:pPr>
    </w:p>
    <w:p w14:paraId="2F7DD121">
      <w:pPr>
        <w:spacing w:line="283" w:lineRule="auto"/>
        <w:rPr>
          <w:rFonts w:ascii="Arial"/>
          <w:sz w:val="21"/>
        </w:rPr>
      </w:pPr>
    </w:p>
    <w:p w14:paraId="3387127D">
      <w:pPr>
        <w:spacing w:before="114" w:line="226" w:lineRule="auto"/>
        <w:ind w:left="4953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8"/>
          <w:sz w:val="35"/>
          <w:szCs w:val="35"/>
        </w:rPr>
        <w:t>三、定标监督小组成员名单</w:t>
      </w:r>
    </w:p>
    <w:p w14:paraId="2A913917">
      <w:pPr>
        <w:spacing w:before="132"/>
      </w:pPr>
    </w:p>
    <w:tbl>
      <w:tblPr>
        <w:tblStyle w:val="5"/>
        <w:tblW w:w="140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7"/>
        <w:gridCol w:w="1564"/>
        <w:gridCol w:w="5123"/>
        <w:gridCol w:w="1991"/>
        <w:gridCol w:w="2134"/>
        <w:gridCol w:w="2281"/>
      </w:tblGrid>
      <w:tr w14:paraId="611CFA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967" w:type="dxa"/>
            <w:vAlign w:val="top"/>
          </w:tcPr>
          <w:p w14:paraId="175F94B7">
            <w:pPr>
              <w:spacing w:before="329" w:line="184" w:lineRule="auto"/>
              <w:ind w:left="203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序号</w:t>
            </w:r>
          </w:p>
        </w:tc>
        <w:tc>
          <w:tcPr>
            <w:tcW w:w="1564" w:type="dxa"/>
            <w:vAlign w:val="top"/>
          </w:tcPr>
          <w:p w14:paraId="6C5F5231">
            <w:pPr>
              <w:spacing w:before="331" w:line="183" w:lineRule="auto"/>
              <w:ind w:left="431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姓</w:t>
            </w:r>
            <w:r>
              <w:rPr>
                <w:rFonts w:ascii="微软雅黑" w:hAnsi="微软雅黑" w:eastAsia="微软雅黑" w:cs="微软雅黑"/>
                <w:spacing w:val="58"/>
                <w:w w:val="101"/>
                <w:sz w:val="28"/>
                <w:szCs w:val="2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名</w:t>
            </w:r>
          </w:p>
        </w:tc>
        <w:tc>
          <w:tcPr>
            <w:tcW w:w="5123" w:type="dxa"/>
            <w:vAlign w:val="top"/>
          </w:tcPr>
          <w:p w14:paraId="1B09AD95">
            <w:pPr>
              <w:spacing w:before="329" w:line="184" w:lineRule="auto"/>
              <w:ind w:left="2005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工作单位</w:t>
            </w:r>
          </w:p>
        </w:tc>
        <w:tc>
          <w:tcPr>
            <w:tcW w:w="1991" w:type="dxa"/>
            <w:vAlign w:val="top"/>
          </w:tcPr>
          <w:p w14:paraId="1FA40915">
            <w:pPr>
              <w:spacing w:before="307" w:line="221" w:lineRule="auto"/>
              <w:ind w:left="158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3"/>
                <w:sz w:val="28"/>
                <w:szCs w:val="28"/>
              </w:rPr>
              <w:t>职称（职务）</w:t>
            </w:r>
          </w:p>
        </w:tc>
        <w:tc>
          <w:tcPr>
            <w:tcW w:w="2134" w:type="dxa"/>
            <w:vAlign w:val="top"/>
          </w:tcPr>
          <w:p w14:paraId="07A25E82">
            <w:pPr>
              <w:spacing w:before="158" w:line="196" w:lineRule="auto"/>
              <w:ind w:left="368" w:right="362" w:firstLine="141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在定标中</w:t>
            </w:r>
            <w:r>
              <w:rPr>
                <w:rFonts w:ascii="微软雅黑" w:hAnsi="微软雅黑" w:eastAsia="微软雅黑" w:cs="微软雅黑"/>
                <w:sz w:val="28"/>
                <w:szCs w:val="28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承担的工作</w:t>
            </w:r>
          </w:p>
        </w:tc>
        <w:tc>
          <w:tcPr>
            <w:tcW w:w="2281" w:type="dxa"/>
            <w:vAlign w:val="top"/>
          </w:tcPr>
          <w:p w14:paraId="4C86A5D0">
            <w:pPr>
              <w:spacing w:before="333" w:line="182" w:lineRule="auto"/>
              <w:ind w:left="582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联系电话</w:t>
            </w:r>
          </w:p>
        </w:tc>
      </w:tr>
      <w:tr w14:paraId="47DA90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967" w:type="dxa"/>
            <w:vAlign w:val="top"/>
          </w:tcPr>
          <w:p w14:paraId="45C83283">
            <w:pPr>
              <w:spacing w:before="282" w:line="189" w:lineRule="auto"/>
              <w:ind w:left="44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564" w:type="dxa"/>
            <w:vAlign w:val="top"/>
          </w:tcPr>
          <w:p w14:paraId="64A290B8">
            <w:pPr>
              <w:pStyle w:val="6"/>
            </w:pPr>
          </w:p>
        </w:tc>
        <w:tc>
          <w:tcPr>
            <w:tcW w:w="5123" w:type="dxa"/>
            <w:vAlign w:val="top"/>
          </w:tcPr>
          <w:p w14:paraId="6D0B9F06">
            <w:pPr>
              <w:pStyle w:val="6"/>
            </w:pPr>
          </w:p>
        </w:tc>
        <w:tc>
          <w:tcPr>
            <w:tcW w:w="1991" w:type="dxa"/>
            <w:vAlign w:val="top"/>
          </w:tcPr>
          <w:p w14:paraId="6EC1E035">
            <w:pPr>
              <w:pStyle w:val="6"/>
            </w:pPr>
          </w:p>
        </w:tc>
        <w:tc>
          <w:tcPr>
            <w:tcW w:w="2134" w:type="dxa"/>
            <w:vAlign w:val="top"/>
          </w:tcPr>
          <w:p w14:paraId="3E1B2C61">
            <w:pPr>
              <w:pStyle w:val="6"/>
            </w:pPr>
          </w:p>
        </w:tc>
        <w:tc>
          <w:tcPr>
            <w:tcW w:w="2281" w:type="dxa"/>
            <w:vAlign w:val="top"/>
          </w:tcPr>
          <w:p w14:paraId="70246E7D">
            <w:pPr>
              <w:pStyle w:val="6"/>
            </w:pPr>
          </w:p>
        </w:tc>
      </w:tr>
      <w:tr w14:paraId="47AA39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967" w:type="dxa"/>
            <w:vAlign w:val="top"/>
          </w:tcPr>
          <w:p w14:paraId="7E1E7874">
            <w:pPr>
              <w:spacing w:before="282" w:line="189" w:lineRule="auto"/>
              <w:ind w:left="41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564" w:type="dxa"/>
            <w:vAlign w:val="top"/>
          </w:tcPr>
          <w:p w14:paraId="7B5EAF55">
            <w:pPr>
              <w:pStyle w:val="6"/>
            </w:pPr>
          </w:p>
        </w:tc>
        <w:tc>
          <w:tcPr>
            <w:tcW w:w="5123" w:type="dxa"/>
            <w:vAlign w:val="top"/>
          </w:tcPr>
          <w:p w14:paraId="057E0E5F">
            <w:pPr>
              <w:pStyle w:val="6"/>
            </w:pPr>
          </w:p>
        </w:tc>
        <w:tc>
          <w:tcPr>
            <w:tcW w:w="1991" w:type="dxa"/>
            <w:vAlign w:val="top"/>
          </w:tcPr>
          <w:p w14:paraId="3DBE69B5">
            <w:pPr>
              <w:pStyle w:val="6"/>
            </w:pPr>
          </w:p>
        </w:tc>
        <w:tc>
          <w:tcPr>
            <w:tcW w:w="2134" w:type="dxa"/>
            <w:vAlign w:val="top"/>
          </w:tcPr>
          <w:p w14:paraId="345F3C16">
            <w:pPr>
              <w:pStyle w:val="6"/>
            </w:pPr>
          </w:p>
        </w:tc>
        <w:tc>
          <w:tcPr>
            <w:tcW w:w="2281" w:type="dxa"/>
            <w:vAlign w:val="top"/>
          </w:tcPr>
          <w:p w14:paraId="543C7CB1">
            <w:pPr>
              <w:pStyle w:val="6"/>
            </w:pPr>
          </w:p>
        </w:tc>
      </w:tr>
      <w:tr w14:paraId="1C50BC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967" w:type="dxa"/>
            <w:vAlign w:val="top"/>
          </w:tcPr>
          <w:p w14:paraId="7B143C2D">
            <w:pPr>
              <w:spacing w:before="285" w:line="189" w:lineRule="auto"/>
              <w:ind w:left="42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564" w:type="dxa"/>
            <w:vAlign w:val="top"/>
          </w:tcPr>
          <w:p w14:paraId="38A8DF78">
            <w:pPr>
              <w:pStyle w:val="6"/>
            </w:pPr>
          </w:p>
        </w:tc>
        <w:tc>
          <w:tcPr>
            <w:tcW w:w="5123" w:type="dxa"/>
            <w:vAlign w:val="top"/>
          </w:tcPr>
          <w:p w14:paraId="3C4FB155">
            <w:pPr>
              <w:pStyle w:val="6"/>
            </w:pPr>
          </w:p>
        </w:tc>
        <w:tc>
          <w:tcPr>
            <w:tcW w:w="1991" w:type="dxa"/>
            <w:vAlign w:val="top"/>
          </w:tcPr>
          <w:p w14:paraId="6D3A394D">
            <w:pPr>
              <w:pStyle w:val="6"/>
            </w:pPr>
          </w:p>
        </w:tc>
        <w:tc>
          <w:tcPr>
            <w:tcW w:w="2134" w:type="dxa"/>
            <w:vAlign w:val="top"/>
          </w:tcPr>
          <w:p w14:paraId="6981665B">
            <w:pPr>
              <w:pStyle w:val="6"/>
            </w:pPr>
          </w:p>
        </w:tc>
        <w:tc>
          <w:tcPr>
            <w:tcW w:w="2281" w:type="dxa"/>
            <w:vAlign w:val="top"/>
          </w:tcPr>
          <w:p w14:paraId="55B05FE7">
            <w:pPr>
              <w:pStyle w:val="6"/>
            </w:pPr>
          </w:p>
        </w:tc>
      </w:tr>
      <w:tr w14:paraId="62AA99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967" w:type="dxa"/>
            <w:vAlign w:val="top"/>
          </w:tcPr>
          <w:p w14:paraId="5BEA7E5B">
            <w:pPr>
              <w:spacing w:before="286" w:line="189" w:lineRule="auto"/>
              <w:ind w:left="41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1564" w:type="dxa"/>
            <w:vAlign w:val="top"/>
          </w:tcPr>
          <w:p w14:paraId="1CD0AA92">
            <w:pPr>
              <w:pStyle w:val="6"/>
            </w:pPr>
          </w:p>
        </w:tc>
        <w:tc>
          <w:tcPr>
            <w:tcW w:w="5123" w:type="dxa"/>
            <w:vAlign w:val="top"/>
          </w:tcPr>
          <w:p w14:paraId="41C59C33">
            <w:pPr>
              <w:pStyle w:val="6"/>
            </w:pPr>
          </w:p>
        </w:tc>
        <w:tc>
          <w:tcPr>
            <w:tcW w:w="1991" w:type="dxa"/>
            <w:vAlign w:val="top"/>
          </w:tcPr>
          <w:p w14:paraId="695437C4">
            <w:pPr>
              <w:pStyle w:val="6"/>
            </w:pPr>
          </w:p>
        </w:tc>
        <w:tc>
          <w:tcPr>
            <w:tcW w:w="2134" w:type="dxa"/>
            <w:vAlign w:val="top"/>
          </w:tcPr>
          <w:p w14:paraId="3959EDCD">
            <w:pPr>
              <w:pStyle w:val="6"/>
            </w:pPr>
          </w:p>
        </w:tc>
        <w:tc>
          <w:tcPr>
            <w:tcW w:w="2281" w:type="dxa"/>
            <w:vAlign w:val="top"/>
          </w:tcPr>
          <w:p w14:paraId="4AEBEAEE">
            <w:pPr>
              <w:pStyle w:val="6"/>
            </w:pPr>
          </w:p>
        </w:tc>
      </w:tr>
      <w:tr w14:paraId="332FCC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967" w:type="dxa"/>
            <w:vAlign w:val="top"/>
          </w:tcPr>
          <w:p w14:paraId="7945EB27">
            <w:pPr>
              <w:spacing w:before="303" w:line="186" w:lineRule="auto"/>
              <w:ind w:left="42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1564" w:type="dxa"/>
            <w:vAlign w:val="top"/>
          </w:tcPr>
          <w:p w14:paraId="4EB62C28">
            <w:pPr>
              <w:pStyle w:val="6"/>
            </w:pPr>
          </w:p>
        </w:tc>
        <w:tc>
          <w:tcPr>
            <w:tcW w:w="5123" w:type="dxa"/>
            <w:vAlign w:val="top"/>
          </w:tcPr>
          <w:p w14:paraId="4FDC8587">
            <w:pPr>
              <w:pStyle w:val="6"/>
            </w:pPr>
          </w:p>
        </w:tc>
        <w:tc>
          <w:tcPr>
            <w:tcW w:w="1991" w:type="dxa"/>
            <w:vAlign w:val="top"/>
          </w:tcPr>
          <w:p w14:paraId="1A5B67C1">
            <w:pPr>
              <w:pStyle w:val="6"/>
            </w:pPr>
          </w:p>
        </w:tc>
        <w:tc>
          <w:tcPr>
            <w:tcW w:w="2134" w:type="dxa"/>
            <w:vAlign w:val="top"/>
          </w:tcPr>
          <w:p w14:paraId="2D902651">
            <w:pPr>
              <w:pStyle w:val="6"/>
            </w:pPr>
          </w:p>
        </w:tc>
        <w:tc>
          <w:tcPr>
            <w:tcW w:w="2281" w:type="dxa"/>
            <w:vAlign w:val="top"/>
          </w:tcPr>
          <w:p w14:paraId="5309009E">
            <w:pPr>
              <w:pStyle w:val="6"/>
            </w:pPr>
          </w:p>
        </w:tc>
      </w:tr>
    </w:tbl>
    <w:p w14:paraId="7F2B3168">
      <w:pPr>
        <w:rPr>
          <w:rFonts w:ascii="Arial"/>
          <w:sz w:val="21"/>
        </w:rPr>
      </w:pPr>
    </w:p>
    <w:p w14:paraId="4260D76D">
      <w:pPr>
        <w:rPr>
          <w:rFonts w:ascii="Arial" w:hAnsi="Arial" w:eastAsia="Arial" w:cs="Arial"/>
          <w:sz w:val="21"/>
          <w:szCs w:val="21"/>
        </w:rPr>
        <w:sectPr>
          <w:footerReference r:id="rId25" w:type="default"/>
          <w:pgSz w:w="16839" w:h="11906"/>
          <w:pgMar w:top="400" w:right="1445" w:bottom="1400" w:left="1327" w:header="0" w:footer="1147" w:gutter="0"/>
          <w:cols w:space="720" w:num="1"/>
        </w:sectPr>
      </w:pPr>
    </w:p>
    <w:p w14:paraId="2FA608B9">
      <w:pPr>
        <w:spacing w:line="245" w:lineRule="auto"/>
        <w:rPr>
          <w:rFonts w:ascii="Arial"/>
          <w:sz w:val="21"/>
        </w:rPr>
      </w:pPr>
    </w:p>
    <w:p w14:paraId="6AD6D793">
      <w:pPr>
        <w:spacing w:line="246" w:lineRule="auto"/>
        <w:rPr>
          <w:rFonts w:ascii="Arial"/>
          <w:sz w:val="21"/>
        </w:rPr>
      </w:pPr>
    </w:p>
    <w:p w14:paraId="3937613E">
      <w:pPr>
        <w:spacing w:line="246" w:lineRule="auto"/>
        <w:rPr>
          <w:rFonts w:ascii="Arial"/>
          <w:sz w:val="21"/>
        </w:rPr>
      </w:pPr>
    </w:p>
    <w:p w14:paraId="4548A63A">
      <w:pPr>
        <w:spacing w:line="246" w:lineRule="auto"/>
        <w:rPr>
          <w:rFonts w:ascii="Arial"/>
          <w:sz w:val="21"/>
        </w:rPr>
      </w:pPr>
    </w:p>
    <w:p w14:paraId="24ACFF3C">
      <w:pPr>
        <w:spacing w:line="246" w:lineRule="auto"/>
        <w:rPr>
          <w:rFonts w:ascii="Arial"/>
          <w:sz w:val="21"/>
        </w:rPr>
      </w:pPr>
    </w:p>
    <w:p w14:paraId="4F807EDB">
      <w:pPr>
        <w:spacing w:line="246" w:lineRule="auto"/>
        <w:rPr>
          <w:rFonts w:ascii="Arial"/>
          <w:sz w:val="21"/>
        </w:rPr>
      </w:pPr>
    </w:p>
    <w:p w14:paraId="191234DD">
      <w:pPr>
        <w:spacing w:line="246" w:lineRule="auto"/>
        <w:rPr>
          <w:rFonts w:ascii="Arial"/>
          <w:sz w:val="21"/>
        </w:rPr>
      </w:pPr>
    </w:p>
    <w:p w14:paraId="0D644F0E">
      <w:pPr>
        <w:spacing w:before="114" w:line="226" w:lineRule="auto"/>
        <w:ind w:left="325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4"/>
          <w:sz w:val="35"/>
          <w:szCs w:val="35"/>
        </w:rPr>
        <w:t>四、定标办法</w:t>
      </w:r>
    </w:p>
    <w:p w14:paraId="70CE0176">
      <w:pPr>
        <w:spacing w:line="77" w:lineRule="exact"/>
      </w:pPr>
    </w:p>
    <w:tbl>
      <w:tblPr>
        <w:tblStyle w:val="5"/>
        <w:tblW w:w="85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84"/>
      </w:tblGrid>
      <w:tr w14:paraId="45A36D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0" w:hRule="atLeast"/>
        </w:trPr>
        <w:tc>
          <w:tcPr>
            <w:tcW w:w="8584" w:type="dxa"/>
            <w:vAlign w:val="top"/>
          </w:tcPr>
          <w:p w14:paraId="01ED3C8F">
            <w:pPr>
              <w:pStyle w:val="6"/>
            </w:pPr>
          </w:p>
        </w:tc>
      </w:tr>
    </w:tbl>
    <w:p w14:paraId="2EC3D123">
      <w:pPr>
        <w:rPr>
          <w:rFonts w:ascii="Arial"/>
          <w:sz w:val="21"/>
        </w:rPr>
      </w:pPr>
    </w:p>
    <w:p w14:paraId="07592358">
      <w:pPr>
        <w:rPr>
          <w:rFonts w:ascii="Arial" w:hAnsi="Arial" w:eastAsia="Arial" w:cs="Arial"/>
          <w:sz w:val="21"/>
          <w:szCs w:val="21"/>
        </w:rPr>
        <w:sectPr>
          <w:footerReference r:id="rId26" w:type="default"/>
          <w:pgSz w:w="11906" w:h="16839"/>
          <w:pgMar w:top="400" w:right="1470" w:bottom="1288" w:left="1714" w:header="0" w:footer="1035" w:gutter="0"/>
          <w:cols w:space="720" w:num="1"/>
        </w:sectPr>
      </w:pPr>
    </w:p>
    <w:p w14:paraId="6B5A410E">
      <w:pPr>
        <w:spacing w:line="245" w:lineRule="auto"/>
        <w:rPr>
          <w:rFonts w:ascii="Arial"/>
          <w:sz w:val="21"/>
        </w:rPr>
      </w:pPr>
    </w:p>
    <w:p w14:paraId="7787218F">
      <w:pPr>
        <w:spacing w:line="246" w:lineRule="auto"/>
        <w:rPr>
          <w:rFonts w:ascii="Arial"/>
          <w:sz w:val="21"/>
        </w:rPr>
      </w:pPr>
    </w:p>
    <w:p w14:paraId="56873CD5">
      <w:pPr>
        <w:spacing w:line="246" w:lineRule="auto"/>
        <w:rPr>
          <w:rFonts w:ascii="Arial"/>
          <w:sz w:val="21"/>
        </w:rPr>
      </w:pPr>
    </w:p>
    <w:p w14:paraId="652E9C48">
      <w:pPr>
        <w:spacing w:line="246" w:lineRule="auto"/>
        <w:rPr>
          <w:rFonts w:ascii="Arial"/>
          <w:sz w:val="21"/>
        </w:rPr>
      </w:pPr>
    </w:p>
    <w:p w14:paraId="7EE564A6">
      <w:pPr>
        <w:spacing w:line="246" w:lineRule="auto"/>
        <w:rPr>
          <w:rFonts w:ascii="Arial"/>
          <w:sz w:val="21"/>
        </w:rPr>
      </w:pPr>
    </w:p>
    <w:p w14:paraId="716A1B08">
      <w:pPr>
        <w:spacing w:line="246" w:lineRule="auto"/>
        <w:rPr>
          <w:rFonts w:ascii="Arial"/>
          <w:sz w:val="21"/>
        </w:rPr>
      </w:pPr>
    </w:p>
    <w:p w14:paraId="087A5294">
      <w:pPr>
        <w:spacing w:line="246" w:lineRule="auto"/>
        <w:rPr>
          <w:rFonts w:ascii="Arial"/>
          <w:sz w:val="21"/>
        </w:rPr>
      </w:pPr>
    </w:p>
    <w:p w14:paraId="69A28E5C">
      <w:pPr>
        <w:spacing w:before="114" w:line="228" w:lineRule="auto"/>
        <w:ind w:left="3369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6"/>
          <w:sz w:val="35"/>
          <w:szCs w:val="35"/>
        </w:rPr>
        <w:t>五、定标情况</w:t>
      </w:r>
    </w:p>
    <w:p w14:paraId="62FF7C8C">
      <w:pPr>
        <w:spacing w:line="73" w:lineRule="exact"/>
      </w:pPr>
    </w:p>
    <w:tbl>
      <w:tblPr>
        <w:tblStyle w:val="5"/>
        <w:tblW w:w="8524" w:type="dxa"/>
        <w:tblInd w:w="16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4"/>
      </w:tblGrid>
      <w:tr w14:paraId="61A793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2" w:hRule="atLeast"/>
        </w:trPr>
        <w:tc>
          <w:tcPr>
            <w:tcW w:w="8524" w:type="dxa"/>
            <w:vAlign w:val="top"/>
          </w:tcPr>
          <w:p w14:paraId="69520B8D">
            <w:pPr>
              <w:pStyle w:val="6"/>
            </w:pPr>
          </w:p>
        </w:tc>
      </w:tr>
    </w:tbl>
    <w:p w14:paraId="6B3B270C">
      <w:pPr>
        <w:spacing w:before="108" w:line="228" w:lineRule="auto"/>
        <w:ind w:left="1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9"/>
          <w:sz w:val="20"/>
          <w:szCs w:val="20"/>
        </w:rPr>
        <w:t>备注：简要概述定标会议情况，包括但不限于下列内容：</w:t>
      </w:r>
    </w:p>
    <w:p w14:paraId="334875F2">
      <w:pPr>
        <w:spacing w:before="113" w:line="227" w:lineRule="auto"/>
        <w:ind w:left="657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1.</w:t>
      </w:r>
      <w:r>
        <w:rPr>
          <w:rFonts w:ascii="宋体" w:hAnsi="宋体" w:eastAsia="宋体" w:cs="宋体"/>
          <w:spacing w:val="7"/>
          <w:sz w:val="20"/>
          <w:szCs w:val="20"/>
        </w:rPr>
        <w:t>采用价格竞争定标法时的价格比较情况；</w:t>
      </w:r>
    </w:p>
    <w:p w14:paraId="63FF1DEF">
      <w:pPr>
        <w:spacing w:before="114" w:line="317" w:lineRule="auto"/>
        <w:ind w:left="641" w:right="2389" w:hanging="4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9"/>
          <w:sz w:val="20"/>
          <w:szCs w:val="20"/>
        </w:rPr>
        <w:t>2.</w:t>
      </w:r>
      <w:r>
        <w:rPr>
          <w:rFonts w:ascii="宋体" w:hAnsi="宋体" w:eastAsia="宋体" w:cs="宋体"/>
          <w:spacing w:val="9"/>
          <w:sz w:val="20"/>
          <w:szCs w:val="20"/>
        </w:rPr>
        <w:t>采用票决定标法时的记名投票及打分情况（附记名投票表</w:t>
      </w:r>
      <w:r>
        <w:rPr>
          <w:rFonts w:ascii="宋体" w:hAnsi="宋体" w:eastAsia="宋体" w:cs="宋体"/>
          <w:spacing w:val="-49"/>
          <w:w w:val="91"/>
          <w:sz w:val="20"/>
          <w:szCs w:val="20"/>
        </w:rPr>
        <w:t>）；</w:t>
      </w:r>
      <w:r>
        <w:rPr>
          <w:rFonts w:ascii="宋体" w:hAnsi="宋体" w:eastAsia="宋体" w:cs="宋体"/>
          <w:spacing w:val="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3.</w:t>
      </w:r>
      <w:r>
        <w:rPr>
          <w:rFonts w:ascii="宋体" w:hAnsi="宋体" w:eastAsia="宋体" w:cs="宋体"/>
          <w:spacing w:val="8"/>
          <w:sz w:val="20"/>
          <w:szCs w:val="20"/>
        </w:rPr>
        <w:t>采用集体议事法时的定标委员会成员发表意见情况等；</w:t>
      </w:r>
    </w:p>
    <w:p w14:paraId="5B8CF44A">
      <w:pPr>
        <w:spacing w:before="33" w:line="229" w:lineRule="auto"/>
        <w:ind w:left="636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4.</w:t>
      </w:r>
      <w:r>
        <w:rPr>
          <w:rFonts w:ascii="宋体" w:hAnsi="宋体" w:eastAsia="宋体" w:cs="宋体"/>
          <w:spacing w:val="7"/>
          <w:sz w:val="20"/>
          <w:szCs w:val="20"/>
        </w:rPr>
        <w:t>其他需要记录的情况。</w:t>
      </w:r>
    </w:p>
    <w:p w14:paraId="25E94E8A">
      <w:pPr>
        <w:spacing w:line="247" w:lineRule="auto"/>
        <w:rPr>
          <w:rFonts w:ascii="Arial"/>
          <w:sz w:val="21"/>
        </w:rPr>
      </w:pPr>
    </w:p>
    <w:p w14:paraId="115778E1">
      <w:pPr>
        <w:spacing w:line="247" w:lineRule="auto"/>
        <w:rPr>
          <w:rFonts w:ascii="Arial"/>
          <w:sz w:val="21"/>
        </w:rPr>
      </w:pPr>
    </w:p>
    <w:p w14:paraId="071E721A">
      <w:pPr>
        <w:spacing w:line="248" w:lineRule="auto"/>
        <w:rPr>
          <w:rFonts w:ascii="Arial"/>
          <w:sz w:val="21"/>
        </w:rPr>
      </w:pPr>
    </w:p>
    <w:p w14:paraId="50D29FCE">
      <w:pPr>
        <w:spacing w:line="248" w:lineRule="auto"/>
        <w:rPr>
          <w:rFonts w:ascii="Arial"/>
          <w:sz w:val="21"/>
        </w:rPr>
      </w:pPr>
    </w:p>
    <w:p w14:paraId="24515234">
      <w:pPr>
        <w:spacing w:before="82" w:line="189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— 24 —</w:t>
      </w:r>
    </w:p>
    <w:p w14:paraId="10106F07">
      <w:pPr>
        <w:spacing w:line="189" w:lineRule="auto"/>
        <w:rPr>
          <w:rFonts w:ascii="Times New Roman" w:hAnsi="Times New Roman" w:eastAsia="Times New Roman" w:cs="Times New Roman"/>
          <w:sz w:val="28"/>
          <w:szCs w:val="28"/>
        </w:rPr>
        <w:sectPr>
          <w:pgSz w:w="11906" w:h="16839"/>
          <w:pgMar w:top="400" w:right="1632" w:bottom="400" w:left="1584" w:header="0" w:footer="0" w:gutter="0"/>
          <w:cols w:space="720" w:num="1"/>
        </w:sectPr>
      </w:pPr>
    </w:p>
    <w:p w14:paraId="0BF08B22">
      <w:pPr>
        <w:spacing w:line="245" w:lineRule="auto"/>
        <w:rPr>
          <w:rFonts w:ascii="Arial"/>
          <w:sz w:val="21"/>
        </w:rPr>
      </w:pPr>
    </w:p>
    <w:p w14:paraId="6B31B20B">
      <w:pPr>
        <w:spacing w:line="245" w:lineRule="auto"/>
        <w:rPr>
          <w:rFonts w:ascii="Arial"/>
          <w:sz w:val="21"/>
        </w:rPr>
      </w:pPr>
    </w:p>
    <w:p w14:paraId="6C5C4360">
      <w:pPr>
        <w:spacing w:line="246" w:lineRule="auto"/>
        <w:rPr>
          <w:rFonts w:ascii="Arial"/>
          <w:sz w:val="21"/>
        </w:rPr>
      </w:pPr>
    </w:p>
    <w:p w14:paraId="7BCB53B3">
      <w:pPr>
        <w:spacing w:line="246" w:lineRule="auto"/>
        <w:rPr>
          <w:rFonts w:ascii="Arial"/>
          <w:sz w:val="21"/>
        </w:rPr>
      </w:pPr>
    </w:p>
    <w:p w14:paraId="56DE7496">
      <w:pPr>
        <w:spacing w:line="246" w:lineRule="auto"/>
        <w:rPr>
          <w:rFonts w:ascii="Arial"/>
          <w:sz w:val="21"/>
        </w:rPr>
      </w:pPr>
    </w:p>
    <w:p w14:paraId="40A64940">
      <w:pPr>
        <w:spacing w:line="246" w:lineRule="auto"/>
        <w:rPr>
          <w:rFonts w:ascii="Arial"/>
          <w:sz w:val="21"/>
        </w:rPr>
      </w:pPr>
    </w:p>
    <w:p w14:paraId="53FDA62B">
      <w:pPr>
        <w:spacing w:line="246" w:lineRule="auto"/>
        <w:rPr>
          <w:rFonts w:ascii="Arial"/>
          <w:sz w:val="21"/>
        </w:rPr>
      </w:pPr>
    </w:p>
    <w:p w14:paraId="17ABE6E5">
      <w:pPr>
        <w:spacing w:before="114" w:line="230" w:lineRule="auto"/>
        <w:ind w:left="3168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5"/>
          <w:sz w:val="35"/>
          <w:szCs w:val="35"/>
        </w:rPr>
        <w:t>六、定标结果</w:t>
      </w:r>
    </w:p>
    <w:p w14:paraId="54E797F1">
      <w:pPr>
        <w:spacing w:line="70" w:lineRule="exact"/>
      </w:pPr>
    </w:p>
    <w:tbl>
      <w:tblPr>
        <w:tblStyle w:val="5"/>
        <w:tblW w:w="8323" w:type="dxa"/>
        <w:tblInd w:w="6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84"/>
        <w:gridCol w:w="5539"/>
      </w:tblGrid>
      <w:tr w14:paraId="15CBCB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784" w:type="dxa"/>
            <w:vAlign w:val="top"/>
          </w:tcPr>
          <w:p w14:paraId="0728BD70">
            <w:pPr>
              <w:spacing w:before="243" w:line="221" w:lineRule="auto"/>
              <w:ind w:left="84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项目名称</w:t>
            </w:r>
          </w:p>
        </w:tc>
        <w:tc>
          <w:tcPr>
            <w:tcW w:w="5539" w:type="dxa"/>
            <w:vAlign w:val="top"/>
          </w:tcPr>
          <w:p w14:paraId="2C1C001D">
            <w:pPr>
              <w:pStyle w:val="6"/>
            </w:pPr>
          </w:p>
        </w:tc>
      </w:tr>
      <w:tr w14:paraId="02085F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2784" w:type="dxa"/>
            <w:vAlign w:val="top"/>
          </w:tcPr>
          <w:p w14:paraId="5CE2E4FC">
            <w:pPr>
              <w:spacing w:before="237" w:line="221" w:lineRule="auto"/>
              <w:ind w:left="84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标段名称</w:t>
            </w:r>
          </w:p>
        </w:tc>
        <w:tc>
          <w:tcPr>
            <w:tcW w:w="5539" w:type="dxa"/>
            <w:vAlign w:val="top"/>
          </w:tcPr>
          <w:p w14:paraId="56491680">
            <w:pPr>
              <w:pStyle w:val="6"/>
            </w:pPr>
          </w:p>
        </w:tc>
      </w:tr>
      <w:tr w14:paraId="06A136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2784" w:type="dxa"/>
            <w:vAlign w:val="top"/>
          </w:tcPr>
          <w:p w14:paraId="66FF8246">
            <w:pPr>
              <w:spacing w:before="237" w:line="221" w:lineRule="auto"/>
              <w:ind w:left="84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招标编号</w:t>
            </w:r>
          </w:p>
        </w:tc>
        <w:tc>
          <w:tcPr>
            <w:tcW w:w="5539" w:type="dxa"/>
            <w:vAlign w:val="top"/>
          </w:tcPr>
          <w:p w14:paraId="67A59DDA">
            <w:pPr>
              <w:pStyle w:val="6"/>
            </w:pPr>
          </w:p>
        </w:tc>
      </w:tr>
      <w:tr w14:paraId="3E21BA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784" w:type="dxa"/>
            <w:vAlign w:val="top"/>
          </w:tcPr>
          <w:p w14:paraId="71794098">
            <w:pPr>
              <w:spacing w:before="271" w:line="221" w:lineRule="auto"/>
              <w:ind w:left="42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第一中标候选人</w:t>
            </w:r>
          </w:p>
        </w:tc>
        <w:tc>
          <w:tcPr>
            <w:tcW w:w="5539" w:type="dxa"/>
            <w:vAlign w:val="top"/>
          </w:tcPr>
          <w:p w14:paraId="7ACB7241">
            <w:pPr>
              <w:spacing w:before="272" w:line="220" w:lineRule="auto"/>
              <w:ind w:left="26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（按定标委员会确定的中标候选人排序）</w:t>
            </w:r>
          </w:p>
        </w:tc>
      </w:tr>
      <w:tr w14:paraId="63D05D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784" w:type="dxa"/>
            <w:vAlign w:val="top"/>
          </w:tcPr>
          <w:p w14:paraId="7420D2FD">
            <w:pPr>
              <w:spacing w:before="269" w:line="221" w:lineRule="auto"/>
              <w:ind w:left="42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第二中标候选人</w:t>
            </w:r>
          </w:p>
        </w:tc>
        <w:tc>
          <w:tcPr>
            <w:tcW w:w="5539" w:type="dxa"/>
            <w:vAlign w:val="top"/>
          </w:tcPr>
          <w:p w14:paraId="4EBB0E02">
            <w:pPr>
              <w:pStyle w:val="6"/>
            </w:pPr>
          </w:p>
        </w:tc>
      </w:tr>
      <w:tr w14:paraId="1889B1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2784" w:type="dxa"/>
            <w:vAlign w:val="top"/>
          </w:tcPr>
          <w:p w14:paraId="450C7966">
            <w:pPr>
              <w:spacing w:before="275" w:line="221" w:lineRule="auto"/>
              <w:ind w:left="42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第三中标候选人</w:t>
            </w:r>
          </w:p>
        </w:tc>
        <w:tc>
          <w:tcPr>
            <w:tcW w:w="5539" w:type="dxa"/>
            <w:vAlign w:val="top"/>
          </w:tcPr>
          <w:p w14:paraId="7D39B6C9">
            <w:pPr>
              <w:pStyle w:val="6"/>
            </w:pPr>
          </w:p>
        </w:tc>
      </w:tr>
      <w:tr w14:paraId="47034A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2784" w:type="dxa"/>
            <w:vAlign w:val="top"/>
          </w:tcPr>
          <w:p w14:paraId="1C487647">
            <w:pPr>
              <w:spacing w:before="274" w:line="221" w:lineRule="auto"/>
              <w:ind w:left="42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第四中标候选人</w:t>
            </w:r>
          </w:p>
        </w:tc>
        <w:tc>
          <w:tcPr>
            <w:tcW w:w="5539" w:type="dxa"/>
            <w:vAlign w:val="top"/>
          </w:tcPr>
          <w:p w14:paraId="062C726D">
            <w:pPr>
              <w:pStyle w:val="6"/>
            </w:pPr>
          </w:p>
        </w:tc>
      </w:tr>
      <w:tr w14:paraId="5EC94E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2784" w:type="dxa"/>
            <w:vAlign w:val="top"/>
          </w:tcPr>
          <w:p w14:paraId="54D086E7">
            <w:pPr>
              <w:spacing w:before="276" w:line="221" w:lineRule="auto"/>
              <w:ind w:left="42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第五中标候选人</w:t>
            </w:r>
          </w:p>
        </w:tc>
        <w:tc>
          <w:tcPr>
            <w:tcW w:w="5539" w:type="dxa"/>
            <w:vAlign w:val="top"/>
          </w:tcPr>
          <w:p w14:paraId="1C956617">
            <w:pPr>
              <w:pStyle w:val="6"/>
            </w:pPr>
          </w:p>
        </w:tc>
      </w:tr>
      <w:tr w14:paraId="35AA68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2784" w:type="dxa"/>
            <w:vAlign w:val="top"/>
          </w:tcPr>
          <w:p w14:paraId="6B5B8578">
            <w:pPr>
              <w:spacing w:before="145" w:line="263" w:lineRule="auto"/>
              <w:ind w:left="1006" w:right="263" w:hanging="72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8"/>
                <w:szCs w:val="28"/>
              </w:rPr>
              <w:t>定标委员会确定的</w:t>
            </w: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5"/>
                <w:sz w:val="28"/>
                <w:szCs w:val="28"/>
              </w:rPr>
              <w:t>中标人</w:t>
            </w:r>
          </w:p>
        </w:tc>
        <w:tc>
          <w:tcPr>
            <w:tcW w:w="5539" w:type="dxa"/>
            <w:vAlign w:val="top"/>
          </w:tcPr>
          <w:p w14:paraId="46E18C5A">
            <w:pPr>
              <w:pStyle w:val="6"/>
            </w:pPr>
          </w:p>
        </w:tc>
      </w:tr>
      <w:tr w14:paraId="3A34FF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2784" w:type="dxa"/>
            <w:vAlign w:val="top"/>
          </w:tcPr>
          <w:p w14:paraId="627E0211">
            <w:pPr>
              <w:spacing w:before="113" w:line="251" w:lineRule="auto"/>
              <w:ind w:left="844" w:right="688" w:hanging="13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定标委员会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组长签名</w:t>
            </w:r>
          </w:p>
        </w:tc>
        <w:tc>
          <w:tcPr>
            <w:tcW w:w="5539" w:type="dxa"/>
            <w:vAlign w:val="top"/>
          </w:tcPr>
          <w:p w14:paraId="48F2719F">
            <w:pPr>
              <w:pStyle w:val="6"/>
            </w:pPr>
          </w:p>
        </w:tc>
      </w:tr>
      <w:tr w14:paraId="0B7E89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2784" w:type="dxa"/>
            <w:vAlign w:val="top"/>
          </w:tcPr>
          <w:p w14:paraId="4ED71560">
            <w:pPr>
              <w:spacing w:before="202" w:line="276" w:lineRule="auto"/>
              <w:ind w:left="561" w:right="549" w:firstLine="14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定标委员会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其他成员签名</w:t>
            </w:r>
          </w:p>
        </w:tc>
        <w:tc>
          <w:tcPr>
            <w:tcW w:w="5539" w:type="dxa"/>
            <w:vAlign w:val="top"/>
          </w:tcPr>
          <w:p w14:paraId="06AE30B1">
            <w:pPr>
              <w:pStyle w:val="6"/>
            </w:pPr>
          </w:p>
        </w:tc>
      </w:tr>
      <w:tr w14:paraId="4EEABF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2784" w:type="dxa"/>
            <w:vAlign w:val="top"/>
          </w:tcPr>
          <w:p w14:paraId="02A56C4A">
            <w:pPr>
              <w:spacing w:before="212" w:line="276" w:lineRule="auto"/>
              <w:ind w:left="707" w:right="129" w:hanging="56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定标委员会成员不同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意见和理由</w:t>
            </w:r>
          </w:p>
        </w:tc>
        <w:tc>
          <w:tcPr>
            <w:tcW w:w="5539" w:type="dxa"/>
            <w:vAlign w:val="top"/>
          </w:tcPr>
          <w:p w14:paraId="6D6458D2">
            <w:pPr>
              <w:pStyle w:val="6"/>
            </w:pPr>
          </w:p>
        </w:tc>
      </w:tr>
      <w:tr w14:paraId="29C2CA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2784" w:type="dxa"/>
            <w:vAlign w:val="top"/>
          </w:tcPr>
          <w:p w14:paraId="2073CF4F">
            <w:pPr>
              <w:spacing w:before="148" w:line="262" w:lineRule="auto"/>
              <w:ind w:left="707" w:right="549" w:hanging="14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定标监督小组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意见及签名</w:t>
            </w:r>
          </w:p>
        </w:tc>
        <w:tc>
          <w:tcPr>
            <w:tcW w:w="5539" w:type="dxa"/>
            <w:vAlign w:val="top"/>
          </w:tcPr>
          <w:p w14:paraId="53E90DBE">
            <w:pPr>
              <w:pStyle w:val="6"/>
            </w:pPr>
          </w:p>
        </w:tc>
      </w:tr>
      <w:tr w14:paraId="067324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784" w:type="dxa"/>
            <w:vAlign w:val="top"/>
          </w:tcPr>
          <w:p w14:paraId="5F52682F">
            <w:pPr>
              <w:spacing w:before="208" w:line="221" w:lineRule="auto"/>
              <w:ind w:left="14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其他需要说明的事项</w:t>
            </w:r>
          </w:p>
        </w:tc>
        <w:tc>
          <w:tcPr>
            <w:tcW w:w="5539" w:type="dxa"/>
            <w:vAlign w:val="top"/>
          </w:tcPr>
          <w:p w14:paraId="2381EECC">
            <w:pPr>
              <w:pStyle w:val="6"/>
            </w:pPr>
          </w:p>
        </w:tc>
      </w:tr>
    </w:tbl>
    <w:p w14:paraId="19B03796">
      <w:pPr>
        <w:spacing w:before="112" w:line="221" w:lineRule="auto"/>
        <w:ind w:left="556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年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-10"/>
          <w:sz w:val="28"/>
          <w:szCs w:val="28"/>
        </w:rPr>
        <w:t>月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-10"/>
          <w:sz w:val="28"/>
          <w:szCs w:val="28"/>
        </w:rPr>
        <w:t>日</w:t>
      </w:r>
    </w:p>
    <w:p w14:paraId="2E6B84C2">
      <w:pPr>
        <w:spacing w:line="221" w:lineRule="auto"/>
        <w:rPr>
          <w:rFonts w:ascii="宋体" w:hAnsi="宋体" w:eastAsia="宋体" w:cs="宋体"/>
          <w:sz w:val="28"/>
          <w:szCs w:val="28"/>
        </w:rPr>
        <w:sectPr>
          <w:footerReference r:id="rId27" w:type="default"/>
          <w:pgSz w:w="11906" w:h="16839"/>
          <w:pgMar w:top="400" w:right="1470" w:bottom="1288" w:left="1785" w:header="0" w:footer="1035" w:gutter="0"/>
          <w:cols w:space="720" w:num="1"/>
        </w:sectPr>
      </w:pPr>
    </w:p>
    <w:p w14:paraId="2E00D48F">
      <w:pPr>
        <w:spacing w:line="245" w:lineRule="auto"/>
        <w:rPr>
          <w:rFonts w:ascii="Arial"/>
          <w:sz w:val="21"/>
        </w:rPr>
      </w:pPr>
    </w:p>
    <w:p w14:paraId="263F1CE4">
      <w:pPr>
        <w:spacing w:line="245" w:lineRule="auto"/>
        <w:rPr>
          <w:rFonts w:ascii="Arial"/>
          <w:sz w:val="21"/>
        </w:rPr>
      </w:pPr>
    </w:p>
    <w:p w14:paraId="327A76C2">
      <w:pPr>
        <w:spacing w:line="246" w:lineRule="auto"/>
        <w:rPr>
          <w:rFonts w:ascii="Arial"/>
          <w:sz w:val="21"/>
        </w:rPr>
      </w:pPr>
    </w:p>
    <w:p w14:paraId="1A708EBA">
      <w:pPr>
        <w:spacing w:line="246" w:lineRule="auto"/>
        <w:rPr>
          <w:rFonts w:ascii="Arial"/>
          <w:sz w:val="21"/>
        </w:rPr>
      </w:pPr>
    </w:p>
    <w:p w14:paraId="18DC08B5">
      <w:pPr>
        <w:spacing w:line="246" w:lineRule="auto"/>
        <w:rPr>
          <w:rFonts w:ascii="Arial"/>
          <w:sz w:val="21"/>
        </w:rPr>
      </w:pPr>
    </w:p>
    <w:p w14:paraId="65B75498">
      <w:pPr>
        <w:spacing w:line="246" w:lineRule="auto"/>
        <w:rPr>
          <w:rFonts w:ascii="Arial"/>
          <w:sz w:val="21"/>
        </w:rPr>
      </w:pPr>
    </w:p>
    <w:p w14:paraId="5C26AD3F">
      <w:pPr>
        <w:spacing w:line="246" w:lineRule="auto"/>
        <w:rPr>
          <w:rFonts w:ascii="Arial"/>
          <w:sz w:val="21"/>
        </w:rPr>
      </w:pPr>
    </w:p>
    <w:p w14:paraId="427EACFD">
      <w:pPr>
        <w:spacing w:before="133" w:line="185" w:lineRule="auto"/>
        <w:ind w:left="1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七、</w:t>
      </w:r>
      <w:r>
        <w:rPr>
          <w:rFonts w:ascii="微软雅黑" w:hAnsi="微软雅黑" w:eastAsia="微软雅黑" w:cs="微软雅黑"/>
          <w:spacing w:val="-6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附件</w:t>
      </w:r>
    </w:p>
    <w:p w14:paraId="01BAA39B">
      <w:pPr>
        <w:spacing w:before="127" w:line="218" w:lineRule="auto"/>
        <w:ind w:left="222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（一）清标与考察报告（如有）</w:t>
      </w:r>
    </w:p>
    <w:tbl>
      <w:tblPr>
        <w:tblStyle w:val="5"/>
        <w:tblW w:w="8564" w:type="dxa"/>
        <w:tblInd w:w="14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4"/>
      </w:tblGrid>
      <w:tr w14:paraId="590734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0" w:hRule="atLeast"/>
        </w:trPr>
        <w:tc>
          <w:tcPr>
            <w:tcW w:w="8564" w:type="dxa"/>
            <w:vAlign w:val="top"/>
          </w:tcPr>
          <w:p w14:paraId="22F9E7DB">
            <w:pPr>
              <w:pStyle w:val="6"/>
            </w:pPr>
          </w:p>
        </w:tc>
      </w:tr>
    </w:tbl>
    <w:p w14:paraId="1C4089B3">
      <w:pPr>
        <w:spacing w:before="107" w:line="227" w:lineRule="auto"/>
        <w:ind w:left="1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备注：清标与考察报告包括但不限于下列情形：</w:t>
      </w:r>
    </w:p>
    <w:p w14:paraId="179BF706">
      <w:pPr>
        <w:spacing w:before="115" w:line="322" w:lineRule="auto"/>
        <w:ind w:left="637" w:right="5455" w:firstLine="20"/>
        <w:jc w:val="both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3"/>
          <w:sz w:val="20"/>
          <w:szCs w:val="20"/>
        </w:rPr>
        <w:t>1.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参与清标与考察人员名单； 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2.</w:t>
      </w:r>
      <w:r>
        <w:rPr>
          <w:rFonts w:ascii="宋体" w:hAnsi="宋体" w:eastAsia="宋体" w:cs="宋体"/>
          <w:spacing w:val="4"/>
          <w:sz w:val="20"/>
          <w:szCs w:val="20"/>
        </w:rPr>
        <w:t>清标与考察的内容和方法；</w:t>
      </w:r>
      <w:r>
        <w:rPr>
          <w:rFonts w:ascii="宋体" w:hAnsi="宋体" w:eastAsia="宋体" w:cs="宋体"/>
          <w:spacing w:val="9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3.</w:t>
      </w:r>
      <w:r>
        <w:rPr>
          <w:rFonts w:ascii="宋体" w:hAnsi="宋体" w:eastAsia="宋体" w:cs="宋体"/>
          <w:spacing w:val="7"/>
          <w:sz w:val="20"/>
          <w:szCs w:val="20"/>
        </w:rPr>
        <w:t>清标与考察的时间地点；</w:t>
      </w:r>
    </w:p>
    <w:p w14:paraId="4FFD1078">
      <w:pPr>
        <w:spacing w:before="32" w:line="228" w:lineRule="auto"/>
        <w:ind w:left="636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4.</w:t>
      </w:r>
      <w:r>
        <w:rPr>
          <w:rFonts w:ascii="宋体" w:hAnsi="宋体" w:eastAsia="宋体" w:cs="宋体"/>
          <w:spacing w:val="8"/>
          <w:sz w:val="20"/>
          <w:szCs w:val="20"/>
        </w:rPr>
        <w:t>清标与考察的情况与结果，考察意见。</w:t>
      </w:r>
    </w:p>
    <w:p w14:paraId="1581B38B">
      <w:pPr>
        <w:spacing w:line="228" w:lineRule="auto"/>
        <w:rPr>
          <w:rFonts w:ascii="宋体" w:hAnsi="宋体" w:eastAsia="宋体" w:cs="宋体"/>
          <w:sz w:val="20"/>
          <w:szCs w:val="20"/>
        </w:rPr>
        <w:sectPr>
          <w:footerReference r:id="rId28" w:type="default"/>
          <w:pgSz w:w="11906" w:h="16839"/>
          <w:pgMar w:top="400" w:right="1612" w:bottom="1288" w:left="1584" w:header="0" w:footer="1035" w:gutter="0"/>
          <w:cols w:space="720" w:num="1"/>
        </w:sectPr>
      </w:pPr>
    </w:p>
    <w:p w14:paraId="6D062EAE">
      <w:pPr>
        <w:spacing w:line="272" w:lineRule="auto"/>
        <w:rPr>
          <w:rFonts w:ascii="Arial"/>
          <w:sz w:val="21"/>
        </w:rPr>
      </w:pPr>
    </w:p>
    <w:p w14:paraId="0306A3B5">
      <w:pPr>
        <w:spacing w:line="272" w:lineRule="auto"/>
        <w:rPr>
          <w:rFonts w:ascii="Arial"/>
          <w:sz w:val="21"/>
        </w:rPr>
      </w:pPr>
    </w:p>
    <w:p w14:paraId="72D2068D">
      <w:pPr>
        <w:spacing w:line="273" w:lineRule="auto"/>
        <w:rPr>
          <w:rFonts w:ascii="Arial"/>
          <w:sz w:val="21"/>
        </w:rPr>
      </w:pPr>
    </w:p>
    <w:p w14:paraId="0D8FB28B">
      <w:pPr>
        <w:spacing w:line="273" w:lineRule="auto"/>
        <w:rPr>
          <w:rFonts w:ascii="Arial"/>
          <w:sz w:val="21"/>
        </w:rPr>
      </w:pPr>
    </w:p>
    <w:p w14:paraId="7F5FBFA6">
      <w:pPr>
        <w:spacing w:line="273" w:lineRule="auto"/>
        <w:rPr>
          <w:rFonts w:ascii="Arial"/>
          <w:sz w:val="21"/>
        </w:rPr>
      </w:pPr>
    </w:p>
    <w:p w14:paraId="12E91622">
      <w:pPr>
        <w:spacing w:line="273" w:lineRule="auto"/>
        <w:rPr>
          <w:rFonts w:ascii="Arial"/>
          <w:sz w:val="21"/>
        </w:rPr>
      </w:pPr>
    </w:p>
    <w:p w14:paraId="3CA5BFA3">
      <w:pPr>
        <w:spacing w:before="100" w:line="218" w:lineRule="auto"/>
        <w:ind w:left="178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（二）中标候选人答辩记录（如有）</w:t>
      </w:r>
    </w:p>
    <w:tbl>
      <w:tblPr>
        <w:tblStyle w:val="5"/>
        <w:tblW w:w="86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1"/>
      </w:tblGrid>
      <w:tr w14:paraId="68A38E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4" w:hRule="atLeast"/>
        </w:trPr>
        <w:tc>
          <w:tcPr>
            <w:tcW w:w="8601" w:type="dxa"/>
            <w:vAlign w:val="top"/>
          </w:tcPr>
          <w:p w14:paraId="08FCB8DD">
            <w:pPr>
              <w:pStyle w:val="6"/>
            </w:pPr>
          </w:p>
        </w:tc>
      </w:tr>
    </w:tbl>
    <w:p w14:paraId="2E678CAC">
      <w:pPr>
        <w:rPr>
          <w:rFonts w:ascii="Arial"/>
          <w:sz w:val="21"/>
        </w:rPr>
      </w:pPr>
    </w:p>
    <w:p w14:paraId="3A8D9744">
      <w:pPr>
        <w:rPr>
          <w:rFonts w:ascii="Arial" w:hAnsi="Arial" w:eastAsia="Arial" w:cs="Arial"/>
          <w:sz w:val="21"/>
          <w:szCs w:val="21"/>
        </w:rPr>
        <w:sectPr>
          <w:footerReference r:id="rId29" w:type="default"/>
          <w:pgSz w:w="11906" w:h="16839"/>
          <w:pgMar w:top="400" w:right="1470" w:bottom="1288" w:left="1706" w:header="0" w:footer="1035" w:gutter="0"/>
          <w:cols w:space="720" w:num="1"/>
        </w:sectPr>
      </w:pPr>
    </w:p>
    <w:p w14:paraId="1F5D518D">
      <w:pPr>
        <w:spacing w:line="257" w:lineRule="auto"/>
        <w:rPr>
          <w:rFonts w:ascii="Arial"/>
          <w:sz w:val="21"/>
        </w:rPr>
      </w:pPr>
    </w:p>
    <w:p w14:paraId="0715D7DC">
      <w:pPr>
        <w:spacing w:line="257" w:lineRule="auto"/>
        <w:rPr>
          <w:rFonts w:ascii="Arial"/>
          <w:sz w:val="21"/>
        </w:rPr>
      </w:pPr>
    </w:p>
    <w:p w14:paraId="1B446116">
      <w:pPr>
        <w:spacing w:line="257" w:lineRule="auto"/>
        <w:rPr>
          <w:rFonts w:ascii="Arial"/>
          <w:sz w:val="21"/>
        </w:rPr>
      </w:pPr>
    </w:p>
    <w:p w14:paraId="04EBDB22">
      <w:pPr>
        <w:spacing w:line="258" w:lineRule="auto"/>
        <w:rPr>
          <w:rFonts w:ascii="Arial"/>
          <w:sz w:val="21"/>
        </w:rPr>
      </w:pPr>
    </w:p>
    <w:p w14:paraId="1B891B0F">
      <w:pPr>
        <w:spacing w:line="258" w:lineRule="auto"/>
        <w:rPr>
          <w:rFonts w:ascii="Arial"/>
          <w:sz w:val="21"/>
        </w:rPr>
      </w:pPr>
    </w:p>
    <w:p w14:paraId="2B03D9E5">
      <w:pPr>
        <w:spacing w:line="258" w:lineRule="auto"/>
        <w:rPr>
          <w:rFonts w:ascii="Arial"/>
          <w:sz w:val="21"/>
        </w:rPr>
      </w:pPr>
    </w:p>
    <w:p w14:paraId="5C3396D4">
      <w:pPr>
        <w:spacing w:before="132" w:line="226" w:lineRule="auto"/>
        <w:ind w:left="327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0"/>
          <w:sz w:val="31"/>
          <w:szCs w:val="31"/>
        </w:rPr>
        <w:t>（ 三 ）其他资料</w:t>
      </w:r>
    </w:p>
    <w:sectPr>
      <w:footerReference r:id="rId30" w:type="default"/>
      <w:pgSz w:w="11906" w:h="16839"/>
      <w:pgMar w:top="400" w:right="1785" w:bottom="1288" w:left="1584" w:header="0" w:footer="103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D14684">
    <w:pPr>
      <w:spacing w:line="181" w:lineRule="auto"/>
      <w:ind w:left="7886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— 3 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EC0049"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12 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B7D97F">
    <w:pPr>
      <w:spacing w:line="181" w:lineRule="auto"/>
      <w:ind w:left="7861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13 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9AAD5E">
    <w:pPr>
      <w:spacing w:line="181" w:lineRule="auto"/>
      <w:ind w:left="155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14 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D664D7">
    <w:pPr>
      <w:spacing w:line="181" w:lineRule="auto"/>
      <w:ind w:left="7744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15 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DC256D"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16 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DD5954">
    <w:pPr>
      <w:spacing w:line="181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7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17</w:t>
    </w:r>
    <w:r>
      <w:rPr>
        <w:rFonts w:ascii="Times New Roman" w:hAnsi="Times New Roman" w:eastAsia="Times New Roman" w:cs="Times New Roman"/>
        <w:spacing w:val="-6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2"/>
        <w:sz w:val="28"/>
        <w:szCs w:val="28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1AE16"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18 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75DA71">
    <w:pPr>
      <w:spacing w:line="181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7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19</w:t>
    </w:r>
    <w:r>
      <w:rPr>
        <w:rFonts w:ascii="Times New Roman" w:hAnsi="Times New Roman" w:eastAsia="Times New Roman" w:cs="Times New Roman"/>
        <w:spacing w:val="-6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2"/>
        <w:sz w:val="28"/>
        <w:szCs w:val="28"/>
      </w:rPr>
      <w:t>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CBA8AF">
    <w:pPr>
      <w:spacing w:line="181" w:lineRule="auto"/>
      <w:ind w:left="10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20 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E4D95D">
    <w:pPr>
      <w:spacing w:line="181" w:lineRule="auto"/>
      <w:ind w:left="6600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— 21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2654F4"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4 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B2EA9E">
    <w:pPr>
      <w:spacing w:line="181" w:lineRule="auto"/>
      <w:ind w:left="6600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— 22 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0693CE">
    <w:pPr>
      <w:spacing w:line="181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23 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84C13">
    <w:pPr>
      <w:spacing w:line="181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25 —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CE5C4D"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26 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B7555A">
    <w:pPr>
      <w:spacing w:line="181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27 —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80AF76"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28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E44071">
    <w:pPr>
      <w:spacing w:line="178" w:lineRule="auto"/>
      <w:ind w:left="7886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7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5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8C3EAE"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6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91A6CC">
    <w:pPr>
      <w:spacing w:line="178" w:lineRule="auto"/>
      <w:ind w:left="7888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— 7 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FC926D"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2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8 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754479">
    <w:pPr>
      <w:spacing w:line="181" w:lineRule="auto"/>
      <w:ind w:left="7881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— 9 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BEB36B"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10 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7004C2">
    <w:pPr>
      <w:spacing w:line="181" w:lineRule="auto"/>
      <w:ind w:left="7751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8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3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8"/>
        <w:sz w:val="28"/>
        <w:szCs w:val="28"/>
      </w:rPr>
      <w:t>11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CE5831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73F76C5"/>
    <w:rsid w:val="58A551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2" Type="http://schemas.openxmlformats.org/officeDocument/2006/relationships/fontTable" Target="fontTable.xml"/><Relationship Id="rId31" Type="http://schemas.openxmlformats.org/officeDocument/2006/relationships/theme" Target="theme/theme1.xml"/><Relationship Id="rId30" Type="http://schemas.openxmlformats.org/officeDocument/2006/relationships/footer" Target="footer25.xml"/><Relationship Id="rId3" Type="http://schemas.openxmlformats.org/officeDocument/2006/relationships/footnotes" Target="footnotes.xml"/><Relationship Id="rId29" Type="http://schemas.openxmlformats.org/officeDocument/2006/relationships/footer" Target="footer24.xml"/><Relationship Id="rId28" Type="http://schemas.openxmlformats.org/officeDocument/2006/relationships/footer" Target="footer23.xml"/><Relationship Id="rId27" Type="http://schemas.openxmlformats.org/officeDocument/2006/relationships/footer" Target="footer22.xml"/><Relationship Id="rId26" Type="http://schemas.openxmlformats.org/officeDocument/2006/relationships/footer" Target="footer21.xml"/><Relationship Id="rId25" Type="http://schemas.openxmlformats.org/officeDocument/2006/relationships/footer" Target="footer20.xml"/><Relationship Id="rId24" Type="http://schemas.openxmlformats.org/officeDocument/2006/relationships/footer" Target="footer19.xml"/><Relationship Id="rId23" Type="http://schemas.openxmlformats.org/officeDocument/2006/relationships/footer" Target="footer18.xml"/><Relationship Id="rId22" Type="http://schemas.openxmlformats.org/officeDocument/2006/relationships/footer" Target="footer17.xml"/><Relationship Id="rId21" Type="http://schemas.openxmlformats.org/officeDocument/2006/relationships/footer" Target="footer16.xml"/><Relationship Id="rId20" Type="http://schemas.openxmlformats.org/officeDocument/2006/relationships/footer" Target="footer15.xml"/><Relationship Id="rId2" Type="http://schemas.openxmlformats.org/officeDocument/2006/relationships/settings" Target="settings.xml"/><Relationship Id="rId19" Type="http://schemas.openxmlformats.org/officeDocument/2006/relationships/footer" Target="footer14.xml"/><Relationship Id="rId18" Type="http://schemas.openxmlformats.org/officeDocument/2006/relationships/footer" Target="footer13.xml"/><Relationship Id="rId17" Type="http://schemas.openxmlformats.org/officeDocument/2006/relationships/footer" Target="footer12.xml"/><Relationship Id="rId16" Type="http://schemas.openxmlformats.org/officeDocument/2006/relationships/footer" Target="footer1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26</Pages>
  <Words>6305</Words>
  <Characters>6392</Characters>
  <TotalTime>0</TotalTime>
  <ScaleCrop>false</ScaleCrop>
  <LinksUpToDate>false</LinksUpToDate>
  <CharactersWithSpaces>6914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2024-12-31T15:13:00Z</dcterms:created>
  <dc:creator>jdj10040</dc:creator>
  <cp:lastModifiedBy>泡沫红茶</cp:lastModifiedBy>
  <dcterms:modified xsi:type="dcterms:W3CDTF">2025-04-03T02:39:40Z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2025-04-03T10:35:25Z</vt:filetime>
  </property>
  <property fmtid="{D5CDD505-2E9C-101B-9397-08002B2CF9AE}" pid="4" name="KSOTemplateDocerSaveRecord">
    <vt:lpwstr>eyJoZGlkIjoiOTE0MDFiMWYxYjk4M2ZlNjcyMGE2ZDNiMTFhNzNiMTAiLCJ1c2VySWQiOiI1NzI1MTU1MDQifQ==</vt:lpwstr>
  </property>
  <property fmtid="{D5CDD505-2E9C-101B-9397-08002B2CF9AE}" pid="5" name="KSOProductBuildVer">
    <vt:lpwstr>2052-12.1.0.20784</vt:lpwstr>
  </property>
  <property fmtid="{D5CDD505-2E9C-101B-9397-08002B2CF9AE}" pid="6" name="ICV">
    <vt:lpwstr>3FBBDB54FDB54CA795877E7D567DA315_13</vt:lpwstr>
  </property>
</Properties>
</file>