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4A516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  <w:bookmarkStart w:id="3" w:name="_GoBack"/>
      <w:bookmarkEnd w:id="3"/>
    </w:p>
    <w:p w14:paraId="2975F1D1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73921A46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55FAA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1：2022年度农业水价综合改革奖补资金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项目评价结果</w:t>
      </w:r>
    </w:p>
    <w:p w14:paraId="114368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2：2022年度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困难残疾人家庭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无障碍改造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评价结果</w:t>
      </w:r>
    </w:p>
    <w:p w14:paraId="526A7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3：2022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年度诉前人民调解案件补助项目</w:t>
      </w:r>
      <w:r>
        <w:rPr>
          <w:rFonts w:hint="eastAsia" w:ascii="宋体" w:hAnsi="宋体" w:eastAsia="宋体" w:cs="宋体"/>
          <w:sz w:val="32"/>
          <w:szCs w:val="32"/>
        </w:rPr>
        <w:t>评价结果</w:t>
      </w:r>
    </w:p>
    <w:p w14:paraId="1AA1B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2022年度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曾都区工商联部门整体支出项目评价结果</w:t>
      </w:r>
    </w:p>
    <w:p w14:paraId="6ACF0902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4F7DCD43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163017AA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270BC1C3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27E4D74B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0C034029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7D770690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1CB4DBF6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134B886F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</w:p>
    <w:p w14:paraId="42F43FC2">
      <w:pPr>
        <w:widowControl/>
        <w:jc w:val="left"/>
        <w:rPr>
          <w:rFonts w:hint="eastAsia" w:ascii="宋体" w:hAnsi="宋体" w:cs="楷体"/>
          <w:b/>
          <w:bCs/>
          <w:color w:val="000000"/>
          <w:kern w:val="0"/>
          <w:sz w:val="32"/>
          <w:szCs w:val="32"/>
        </w:rPr>
      </w:pPr>
    </w:p>
    <w:p w14:paraId="6B3400AD">
      <w:pPr>
        <w:widowControl/>
        <w:jc w:val="left"/>
        <w:rPr>
          <w:rFonts w:hint="eastAsia" w:ascii="宋体" w:hAnsi="宋体" w:cs="楷体"/>
          <w:b/>
          <w:bCs/>
          <w:color w:val="000000"/>
          <w:kern w:val="0"/>
          <w:sz w:val="32"/>
          <w:szCs w:val="32"/>
        </w:rPr>
      </w:pPr>
    </w:p>
    <w:p w14:paraId="55538B0A">
      <w:pPr>
        <w:rPr>
          <w:rFonts w:hint="eastAsia" w:ascii="宋体" w:hAnsi="宋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楷体"/>
          <w:b/>
          <w:bCs/>
          <w:color w:val="000000"/>
          <w:kern w:val="0"/>
          <w:sz w:val="32"/>
          <w:szCs w:val="32"/>
        </w:rPr>
        <w:br w:type="page"/>
      </w:r>
    </w:p>
    <w:p w14:paraId="3EE323B6">
      <w:pPr>
        <w:widowControl/>
        <w:spacing w:before="156" w:beforeLines="50"/>
        <w:jc w:val="left"/>
        <w:textAlignment w:val="center"/>
        <w:outlineLvl w:val="0"/>
        <w:rPr>
          <w:rFonts w:ascii="宋体" w:hAnsi="宋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楷体"/>
          <w:b/>
          <w:bCs/>
          <w:color w:val="000000"/>
          <w:kern w:val="0"/>
          <w:sz w:val="32"/>
          <w:szCs w:val="32"/>
        </w:rPr>
        <w:t>附件1：2022年度农业水价综合改革奖补资金</w:t>
      </w:r>
      <w:r>
        <w:rPr>
          <w:rFonts w:hint="eastAsia" w:ascii="宋体" w:hAnsi="宋体" w:cs="楷体"/>
          <w:b/>
          <w:bCs/>
          <w:color w:val="000000"/>
          <w:kern w:val="0"/>
          <w:sz w:val="32"/>
          <w:szCs w:val="32"/>
          <w:lang w:val="en-US" w:eastAsia="zh-CN"/>
        </w:rPr>
        <w:t>项目评价结果</w:t>
      </w:r>
    </w:p>
    <w:tbl>
      <w:tblPr>
        <w:tblStyle w:val="3"/>
        <w:tblW w:w="532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39"/>
        <w:gridCol w:w="882"/>
        <w:gridCol w:w="883"/>
        <w:gridCol w:w="883"/>
        <w:gridCol w:w="4926"/>
      </w:tblGrid>
      <w:tr w14:paraId="45C7E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EBF8D">
            <w:pPr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一、自评结论</w:t>
            </w:r>
          </w:p>
          <w:p w14:paraId="51B92DD2">
            <w:pPr>
              <w:ind w:firstLine="640" w:firstLineChars="200"/>
              <w:rPr>
                <w:rFonts w:ascii="楷体_GB2312" w:hAnsi="楷体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 w:cs="楷体_GB2312"/>
                <w:sz w:val="32"/>
                <w:szCs w:val="32"/>
              </w:rPr>
              <w:t>（一）自评得分</w:t>
            </w:r>
          </w:p>
          <w:p w14:paraId="620BE2BA">
            <w:pPr>
              <w:spacing w:line="360" w:lineRule="auto"/>
              <w:ind w:firstLine="640" w:firstLineChars="200"/>
              <w:jc w:val="left"/>
              <w:rPr>
                <w:rFonts w:ascii="楷体_GB2312" w:hAnsi="楷体" w:eastAsia="楷体_GB2312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根据曾部区财政局 《关于开展2022年度财政支出绩效评价工作的通知》文件要求， 按照《2022年度农业水价综合改革奖补资金项目绩效自评表》评价标准，本次评价通过采取定性与定量指标相结合、抽样分析与综合分析相结合的方式评定项目绩效。经综合考评，2022年度农业水价综合改革奖补资金项目绩效自评得分为100分。</w:t>
            </w:r>
          </w:p>
          <w:p w14:paraId="5A654131">
            <w:pPr>
              <w:ind w:firstLine="640" w:firstLineChars="200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 w:cs="楷体_GB2312"/>
                <w:sz w:val="32"/>
                <w:szCs w:val="32"/>
              </w:rPr>
              <w:t>（二）绩效目标完成情况</w:t>
            </w:r>
          </w:p>
          <w:p w14:paraId="4A99DC9E">
            <w:pPr>
              <w:spacing w:line="360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执行率情况</w:t>
            </w:r>
            <w:bookmarkStart w:id="0" w:name="_Hlk69219203"/>
            <w:bookmarkStart w:id="1" w:name="_Hlk69139738"/>
            <w:r>
              <w:rPr>
                <w:rFonts w:hint="eastAsia" w:asci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2022年度农业水价综合改革奖补资金项目经费预算为27万元，项目支出为27万元，资金用于曾都区中小型灌区信息化计量设施安装、灌区用水户节水奖励等，执行率为100%；</w:t>
            </w:r>
            <w:bookmarkEnd w:id="0"/>
            <w:bookmarkEnd w:id="1"/>
          </w:p>
          <w:p w14:paraId="6AB567A7"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完成的绩效目标：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保障灌区灌排水信息化建设，确保全区农业水价改革任务顺利完成。</w:t>
            </w:r>
          </w:p>
          <w:p w14:paraId="4FEA696D">
            <w:pPr>
              <w:ind w:firstLine="640" w:firstLineChars="200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 w:cs="楷体_GB2312"/>
                <w:sz w:val="32"/>
                <w:szCs w:val="32"/>
              </w:rPr>
              <w:t>（三）存在的问题和原因</w:t>
            </w:r>
          </w:p>
          <w:p w14:paraId="36A1C1DB">
            <w:pPr>
              <w:spacing w:line="360" w:lineRule="auto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由于农业水价综合改革任务大，面积广，一般中型灌区及小型灌区节水配套改造项目还没有启动，加之上级及本级财政投入资金少，改革任务完成难度大。</w:t>
            </w:r>
          </w:p>
          <w:p w14:paraId="3683B39E"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3317A7FE">
            <w:pPr>
              <w:ind w:firstLine="640" w:firstLineChars="200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 w:cs="楷体_GB2312"/>
                <w:sz w:val="32"/>
                <w:szCs w:val="32"/>
              </w:rPr>
              <w:t>（四）下一步拟改进措施</w:t>
            </w:r>
          </w:p>
          <w:p w14:paraId="1439670E">
            <w:pPr>
              <w:spacing w:line="360" w:lineRule="auto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争取资金完成各年度农业水价综合改革任务，加强资金管理，保证资金各个环节，必须依法、依规、依程序，精细化管理，确保资金正确使用。</w:t>
            </w:r>
          </w:p>
          <w:p w14:paraId="13835B74">
            <w:pPr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二、佐证材料</w:t>
            </w:r>
          </w:p>
          <w:p w14:paraId="7CE8C10A">
            <w:pPr>
              <w:ind w:firstLine="640" w:firstLineChars="200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 w:cs="楷体_GB2312"/>
                <w:sz w:val="32"/>
                <w:szCs w:val="32"/>
              </w:rPr>
              <w:t>（一）基本情况</w:t>
            </w:r>
          </w:p>
          <w:p w14:paraId="490682C9">
            <w:pPr>
              <w:spacing w:line="360" w:lineRule="auto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1、项目基本情况和年度绩效目标：2022年度农业水价综合改革奖补资金项目经费预算为27万元，资金用于保障灌区灌排水信息化建设，确保全区农业水价改革任务顺利完成。</w:t>
            </w:r>
          </w:p>
          <w:p w14:paraId="403139AF"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2、项目资金情况：2022年度农业水价综合改革奖补资金项目经费预算为27万元，资金用于用于曾都区中小型灌区信息化计量设施安装、灌区用水户节水奖励等方面。</w:t>
            </w:r>
          </w:p>
          <w:p w14:paraId="0011C511">
            <w:pPr>
              <w:ind w:firstLine="640" w:firstLineChars="200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 w:cs="楷体_GB2312"/>
                <w:sz w:val="32"/>
                <w:szCs w:val="32"/>
              </w:rPr>
              <w:t>（二）部门自评工作开展情况</w:t>
            </w:r>
          </w:p>
          <w:p w14:paraId="67BA213D">
            <w:pPr>
              <w:ind w:firstLine="614" w:firstLineChars="1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（1）自评方式：本次绩效评价运用定性和定量相结合的方法、科学的量化指标和统一的评价标准，对项目资金的绩效目标实现程度进行综合性的考核和评价。</w:t>
            </w:r>
          </w:p>
          <w:p w14:paraId="3DB6F304">
            <w:pPr>
              <w:spacing w:line="360" w:lineRule="auto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（2）自评依据：按照《曾都区财政局关于开展2022年度财政支出绩效评价工作的通知》等文件要求进行自评；</w:t>
            </w:r>
          </w:p>
          <w:p w14:paraId="592B8AE6">
            <w:pPr>
              <w:spacing w:line="360" w:lineRule="auto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（3）自评过程：我办成立资金项目绩效评价工作组，按照经济性、效率性、有效性原则和定量分析与定性分析相结合的原则以及真实性、科学性、规范性原则，从而确保项目质量和按计划组织实施。</w:t>
            </w:r>
          </w:p>
          <w:p w14:paraId="3AA7A2DA">
            <w:pPr>
              <w:ind w:firstLine="640" w:firstLineChars="200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 w:cs="楷体_GB2312"/>
                <w:sz w:val="32"/>
                <w:szCs w:val="32"/>
              </w:rPr>
              <w:t>（三）绩效目标完成情况分析</w:t>
            </w:r>
          </w:p>
          <w:p w14:paraId="5922D38D">
            <w:pPr>
              <w:tabs>
                <w:tab w:val="left" w:pos="376"/>
              </w:tabs>
              <w:spacing w:line="360" w:lineRule="auto"/>
              <w:ind w:firstLine="640" w:firstLineChars="200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预算执行情况分析：2022年度农业水价综合改革奖补资金项目经费预算为27万元，项目支出为27万元。</w:t>
            </w:r>
          </w:p>
          <w:p w14:paraId="5F2DD96E">
            <w:pPr>
              <w:ind w:firstLine="640" w:firstLineChars="200"/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绩效目标完成情况分析：</w:t>
            </w:r>
          </w:p>
          <w:p w14:paraId="434399CA">
            <w:pPr>
              <w:spacing w:line="360" w:lineRule="auto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（1）产出指标完成情况分析：确保全区农业水价改革任务顺利完成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 w14:paraId="727A4A3D">
            <w:pPr>
              <w:numPr>
                <w:ilvl w:val="0"/>
                <w:numId w:val="1"/>
              </w:numPr>
              <w:tabs>
                <w:tab w:val="left" w:pos="403"/>
              </w:tabs>
              <w:spacing w:line="360" w:lineRule="auto"/>
              <w:ind w:firstLine="640" w:firstLineChars="200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效益指标完成情况分析：</w:t>
            </w: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更加全面推进河湖长制工作，确保河湖长制日常办公常态化运行。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分阶段完成河湖治理与保护的总体和分年度目标，水生态环境得到明显改善，有效改善提高了人民生活环境质量，取得了良好的社会效益。</w:t>
            </w:r>
          </w:p>
          <w:p w14:paraId="03B4E41F">
            <w:pPr>
              <w:numPr>
                <w:ilvl w:val="0"/>
                <w:numId w:val="1"/>
              </w:numPr>
              <w:ind w:firstLine="640" w:firstLineChars="200"/>
              <w:rPr>
                <w:rFonts w:ascii="楷体_GB2312" w:hAnsi="楷体" w:eastAsia="楷体_GB2312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满意度指标完成分析 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本次向2个中型灌区发放“满意度调查表”共10份，采取随机调查的方式广泛争求各农户意见，社会调查满意度达100%。</w:t>
            </w:r>
          </w:p>
          <w:p w14:paraId="3069096E">
            <w:pPr>
              <w:ind w:firstLine="640" w:firstLineChars="200"/>
              <w:rPr>
                <w:rFonts w:ascii="楷体_GB2312" w:hAnsi="楷体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 w:cs="楷体_GB2312"/>
                <w:sz w:val="32"/>
                <w:szCs w:val="32"/>
              </w:rPr>
              <w:t>（四）上年度部门自评结果应用情况</w:t>
            </w:r>
          </w:p>
          <w:p w14:paraId="7D2DEF98">
            <w:pPr>
              <w:spacing w:line="560" w:lineRule="exact"/>
              <w:ind w:firstLine="640" w:firstLineChars="200"/>
              <w:rPr>
                <w:rFonts w:ascii="楷体_GB2312" w:hAnsi="楷体" w:eastAsia="楷体_GB2312" w:cs="楷体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上年度部门项目绩效评价结果为“A”，绩效等级为“优”。项目管理相对规范，产出、效益良好，项目建设具有较强的可持续性。</w:t>
            </w:r>
          </w:p>
          <w:p w14:paraId="7224097A">
            <w:pPr>
              <w:ind w:firstLine="640" w:firstLineChars="200"/>
              <w:rPr>
                <w:rFonts w:ascii="楷体_GB2312" w:hAnsi="楷体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 w:cs="楷体_GB2312"/>
                <w:sz w:val="32"/>
                <w:szCs w:val="32"/>
              </w:rPr>
              <w:t>（五）其他佐证材料</w:t>
            </w:r>
          </w:p>
          <w:p w14:paraId="07B528F7">
            <w:pPr>
              <w:spacing w:line="360" w:lineRule="auto"/>
              <w:ind w:left="360" w:firstLine="320" w:firstLineChars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相关票据付款凭证。</w:t>
            </w:r>
          </w:p>
          <w:p w14:paraId="63093316"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hAnsi="方正小标宋简体" w:eastAsia="宋体" w:cs="Times New Roman"/>
                <w:kern w:val="0"/>
                <w:sz w:val="32"/>
                <w:szCs w:val="32"/>
              </w:rPr>
              <w:t xml:space="preserve">  绩效评分表（现场复核）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2"/>
                <w:szCs w:val="32"/>
              </w:rPr>
              <w:t xml:space="preserve">                     </w:t>
            </w:r>
          </w:p>
        </w:tc>
      </w:tr>
      <w:tr w14:paraId="65E55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241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2022年度农业水价综合改革奖补资金项目绩效自评表</w:t>
            </w:r>
          </w:p>
        </w:tc>
      </w:tr>
      <w:tr w14:paraId="5573B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D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B5524">
            <w:pPr>
              <w:rPr>
                <w:rFonts w:ascii="宋体" w:hAnsi="宋体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2F1AD"/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2808C">
            <w:pPr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3E5AC"/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总分：100</w:t>
            </w:r>
          </w:p>
        </w:tc>
      </w:tr>
      <w:tr w14:paraId="76760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D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2022年度农业水价综合改革奖补资金项目</w:t>
            </w:r>
          </w:p>
        </w:tc>
      </w:tr>
      <w:tr w14:paraId="75529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D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曾都区水利和湖泊局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B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5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2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曾都区水利和湖泊局</w:t>
            </w:r>
          </w:p>
        </w:tc>
      </w:tr>
      <w:tr w14:paraId="3B07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06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1、部门预算项目 </w:t>
            </w:r>
            <w:r>
              <w:rPr>
                <w:rStyle w:val="5"/>
                <w:rFonts w:eastAsia="宋体"/>
                <w:lang w:val="en-US" w:eastAsia="zh-CN" w:bidi="ar"/>
              </w:rPr>
              <w:t>√</w:t>
            </w:r>
            <w:r>
              <w:rPr>
                <w:rStyle w:val="6"/>
                <w:lang w:val="en-US" w:eastAsia="zh-CN" w:bidi="ar"/>
              </w:rPr>
              <w:t xml:space="preserve">     2、省专项       □    3、中央转移支付项目   □ </w:t>
            </w:r>
          </w:p>
        </w:tc>
      </w:tr>
      <w:tr w14:paraId="22AEC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29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1、持续性项目   √      2、新增性项目   □</w:t>
            </w:r>
          </w:p>
        </w:tc>
      </w:tr>
      <w:tr w14:paraId="25E6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6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1、常年性项目  √      2、延续性项目   □    3、一次性项目   □</w:t>
            </w:r>
          </w:p>
        </w:tc>
      </w:tr>
      <w:tr w14:paraId="613C9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D1590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7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预算数（A)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5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执行数(B)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4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执行率（B/A）</w:t>
            </w: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8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（20分*执行率）</w:t>
            </w:r>
          </w:p>
        </w:tc>
      </w:tr>
      <w:tr w14:paraId="64CD6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8FF5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7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9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5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5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C2CD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2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B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年初目标值(A）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F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实际完成值(B)</w:t>
            </w: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C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0A46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1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9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改革面积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2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7万亩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A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7万亩</w:t>
            </w: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5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B3A4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9940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0D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3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1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E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8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4DB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B8C5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9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4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按照批复时间完成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E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2022年11月底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A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2022年11月15日</w:t>
            </w: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5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DD0D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4D26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EB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3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单位是否控制在批复概算单价内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D5DE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37A47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9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ECEC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1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4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完成灌区改革面积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1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7万亩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9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7万亩</w:t>
            </w: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1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98B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31DA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B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55E1C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19147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665BB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C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ECDC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8FF5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C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0CA6F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153C0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4A150"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7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2DDC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59DE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D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C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满意度百分比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002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11A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A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A49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0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1239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偏差大或目标未完成原因分析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6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E42A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改进措施及结果应用方案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7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B31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0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C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1、预算执行情况口径：预算数为调整后财政资金总额（包括上年结余结转）。执行数为资金使用单位财政资金实际支出数。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定量指标完成数汇总原则：绝对值直接累加计算，相对值按照资金额度加权平均计算。定量指标计分原则：（即目标值为≥X得分=权重*B/A，反向指标（即目标值为≤X，得分=权重*A/B），得分不得突破权重总额。定量指标先汇总完成数，在计算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定性指标计分原则：达成预期指标、部门达成预期指标并具有一定效果、未达成预期指标且效果较差三挡，分别按照该指标对应分值区间100-80%（含80%）、80-50（含50%）、50-0%合理确定分值。汇总时，以资金额度为权重，对分值进行加权平均计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4、基于经济性和必要性等因素考虑，满意度指标暂可不作为必评指标。</w:t>
            </w:r>
          </w:p>
        </w:tc>
      </w:tr>
    </w:tbl>
    <w:p w14:paraId="23D872A0">
      <w:pPr>
        <w:rPr>
          <w:rFonts w:hint="eastAsia"/>
          <w:sz w:val="32"/>
          <w:szCs w:val="32"/>
        </w:rPr>
      </w:pPr>
    </w:p>
    <w:p w14:paraId="69841B7F">
      <w:pPr>
        <w:rPr>
          <w:rFonts w:hint="eastAsia"/>
          <w:sz w:val="32"/>
          <w:szCs w:val="32"/>
        </w:rPr>
      </w:pPr>
    </w:p>
    <w:p w14:paraId="49C9B295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附件2：2022年度</w:t>
      </w:r>
      <w:r>
        <w:rPr>
          <w:rFonts w:hint="eastAsia"/>
          <w:sz w:val="32"/>
          <w:szCs w:val="32"/>
          <w:lang w:val="en-US" w:eastAsia="zh-CN"/>
        </w:rPr>
        <w:t>困难残疾人家庭</w:t>
      </w:r>
      <w:r>
        <w:rPr>
          <w:rFonts w:hint="eastAsia"/>
          <w:sz w:val="32"/>
          <w:szCs w:val="32"/>
          <w:lang w:eastAsia="zh-CN"/>
        </w:rPr>
        <w:t>无障碍改造</w:t>
      </w:r>
      <w:r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  <w:lang w:val="en-US" w:eastAsia="zh-CN"/>
        </w:rPr>
        <w:t>评价结果</w:t>
      </w:r>
    </w:p>
    <w:p w14:paraId="7ACE22CF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绩效自评得分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100分</w:t>
      </w:r>
    </w:p>
    <w:p w14:paraId="5D17334B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二、绩效目标完成情况</w:t>
      </w:r>
    </w:p>
    <w:p w14:paraId="11F99647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（一）执行率情况</w:t>
      </w:r>
    </w:p>
    <w:p w14:paraId="4829DF0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1.项目资金到位情况</w:t>
      </w:r>
    </w:p>
    <w:p w14:paraId="460B6583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2022年共下达无障碍改造项目资金274万元。其中，中央、省级下达配套资金259万元，本级配套15万元。所有资金已下达到位。</w:t>
      </w:r>
    </w:p>
    <w:p w14:paraId="401A4804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项目资金管理情况</w:t>
      </w:r>
    </w:p>
    <w:p w14:paraId="439AEC5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项目资金统一由本级财政统一管理</w:t>
      </w:r>
    </w:p>
    <w:p w14:paraId="2C594E9D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（二）完成的绩效目标</w:t>
      </w:r>
    </w:p>
    <w:p w14:paraId="3407EAA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1.数量指标</w:t>
      </w:r>
    </w:p>
    <w:p w14:paraId="1207E95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完成了740户残疾人家庭无障碍改造</w:t>
      </w:r>
    </w:p>
    <w:p w14:paraId="0238F00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2.时效指标</w:t>
      </w:r>
    </w:p>
    <w:p w14:paraId="4DD8C6E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项目完成时间12月底</w:t>
      </w:r>
    </w:p>
    <w:p w14:paraId="2F7CA91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3.基本情况</w:t>
      </w:r>
    </w:p>
    <w:p w14:paraId="0D4FBCDA"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项目立项和年底绩效目标</w:t>
      </w:r>
    </w:p>
    <w:p w14:paraId="29FBD46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曾都区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740户困难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残疾人家庭进行无障碍改造是一项民心工程，解决影响残疾人日常起居、基本生活的家庭环境障碍，必须做实做好。</w:t>
      </w:r>
    </w:p>
    <w:p w14:paraId="41E2EAC6"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简要概述项目资金情况</w:t>
      </w:r>
    </w:p>
    <w:p w14:paraId="424AF9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2022年共下达无障碍改造项目资金274万元。其中，中央、省级下达配套资金259万元，本级配套15万元。</w:t>
      </w:r>
    </w:p>
    <w:p w14:paraId="57EFA5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残疾人家庭无障碍改造项目，为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残疾人家庭无障碍改造提供补贴，解决影响残疾人日常起居、基本生活的家庭环境障碍。通过对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740户困难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残疾人家庭无障碍改造项目的绩效评价，进一步提高财政资金使用效益，合理分配财政资金。</w:t>
      </w:r>
    </w:p>
    <w:p w14:paraId="62539E1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</w:p>
    <w:p w14:paraId="47052464">
      <w:pPr>
        <w:ind w:firstLine="633" w:firstLineChars="198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成立绩效评价工作小组</w:t>
      </w:r>
    </w:p>
    <w:p w14:paraId="76EC82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为完成此次绩效评价工作，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区残联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残疾人家庭无障碍改造项目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绩效评价工作领导小组，统一布置、协调和落实此次绩效自评工作的开展。</w:t>
      </w:r>
    </w:p>
    <w:p w14:paraId="3D936D8F">
      <w:pPr>
        <w:ind w:firstLine="610" w:firstLineChars="19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目标完成情况分析</w:t>
      </w:r>
    </w:p>
    <w:p w14:paraId="3F8BFF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（一）资金投入情况分析</w:t>
      </w:r>
    </w:p>
    <w:p w14:paraId="000F5B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1.项目资金到位情况分析，所以项目资金均已到位。</w:t>
      </w:r>
    </w:p>
    <w:p w14:paraId="2EE458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2.项目资金执行情况分析，所以项目资金都已按照任务数和执行标准执行到位。</w:t>
      </w:r>
    </w:p>
    <w:p w14:paraId="2BC096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3.项目资金管理情况分析，所以项目资金都按要求严格执行管理。</w:t>
      </w:r>
    </w:p>
    <w:p w14:paraId="04DA908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（二）绩效目标完成情况分析。</w:t>
      </w:r>
    </w:p>
    <w:p w14:paraId="3B0FB4BC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数量指标</w:t>
      </w:r>
    </w:p>
    <w:p w14:paraId="278B0F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完成了740户困难残疾人家庭无障碍改造。</w:t>
      </w:r>
    </w:p>
    <w:p w14:paraId="7474314E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时效指标</w:t>
      </w:r>
    </w:p>
    <w:p w14:paraId="0328C8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年12月底执行完毕。</w:t>
      </w:r>
    </w:p>
    <w:p w14:paraId="123166CC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3、社会效益指标</w:t>
      </w:r>
    </w:p>
    <w:p w14:paraId="59DAA30C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社会关心理解残疾人氛围有所提高，开展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残疾人家庭无障碍改造项目</w:t>
      </w:r>
      <w:r>
        <w:rPr>
          <w:rFonts w:hint="eastAsia" w:ascii="仿宋_GB2312" w:hAnsi="仿宋_GB2312" w:eastAsia="仿宋_GB2312" w:cs="仿宋_GB2312"/>
          <w:bCs/>
          <w:color w:val="222222"/>
          <w:kern w:val="0"/>
          <w:sz w:val="32"/>
          <w:szCs w:val="32"/>
        </w:rPr>
        <w:t>为残疾人</w:t>
      </w:r>
      <w:r>
        <w:rPr>
          <w:rFonts w:hint="eastAsia" w:ascii="仿宋_GB2312" w:hAnsi="仿宋_GB2312" w:eastAsia="仿宋_GB2312" w:cs="仿宋_GB2312"/>
          <w:bCs/>
          <w:color w:val="222222"/>
          <w:kern w:val="0"/>
          <w:sz w:val="32"/>
          <w:szCs w:val="32"/>
          <w:lang w:val="en-US" w:eastAsia="zh-CN"/>
        </w:rPr>
        <w:t>提供便利，使他们更好走出家门，主动参与家庭和社会劳动、创造价值。</w:t>
      </w:r>
      <w:r>
        <w:rPr>
          <w:rFonts w:hint="eastAsia" w:ascii="仿宋_GB2312" w:hAnsi="仿宋_GB2312" w:eastAsia="仿宋_GB2312" w:cs="仿宋_GB2312"/>
          <w:bCs/>
          <w:color w:val="222222"/>
          <w:kern w:val="0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bCs/>
          <w:color w:val="222222"/>
          <w:kern w:val="0"/>
          <w:sz w:val="32"/>
          <w:szCs w:val="32"/>
          <w:lang w:val="en-US" w:eastAsia="zh-CN"/>
        </w:rPr>
        <w:t>解放家人，家庭增收的良好局面，2022年通过实施个性化无障碍改造，大部分残疾人家庭，</w:t>
      </w:r>
      <w:r>
        <w:rPr>
          <w:rFonts w:hint="eastAsia" w:ascii="仿宋_GB2312" w:hAnsi="仿宋_GB2312" w:eastAsia="仿宋_GB2312" w:cs="仿宋_GB2312"/>
          <w:bCs/>
          <w:color w:val="222222"/>
          <w:kern w:val="0"/>
          <w:sz w:val="32"/>
          <w:szCs w:val="32"/>
          <w:lang w:eastAsia="zh-CN"/>
        </w:rPr>
        <w:t>生活质量</w:t>
      </w:r>
      <w:r>
        <w:rPr>
          <w:rFonts w:hint="eastAsia" w:ascii="仿宋_GB2312" w:hAnsi="仿宋_GB2312" w:eastAsia="仿宋_GB2312" w:cs="仿宋_GB2312"/>
          <w:bCs/>
          <w:color w:val="222222"/>
          <w:kern w:val="0"/>
          <w:sz w:val="32"/>
          <w:szCs w:val="32"/>
          <w:lang w:val="en-US" w:eastAsia="zh-CN"/>
        </w:rPr>
        <w:t>和幸福指数有了明显提高</w:t>
      </w:r>
      <w:r>
        <w:rPr>
          <w:rFonts w:hint="eastAsia" w:ascii="仿宋_GB2312" w:hAnsi="仿宋_GB2312" w:eastAsia="仿宋_GB2312" w:cs="仿宋_GB2312"/>
          <w:bCs/>
          <w:color w:val="222222"/>
          <w:kern w:val="0"/>
          <w:sz w:val="32"/>
          <w:szCs w:val="32"/>
        </w:rPr>
        <w:t>。</w:t>
      </w:r>
    </w:p>
    <w:tbl>
      <w:tblPr>
        <w:tblStyle w:val="3"/>
        <w:tblpPr w:leftFromText="180" w:rightFromText="180" w:vertAnchor="text" w:horzAnchor="page" w:tblpX="1579" w:tblpY="1062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869"/>
        <w:gridCol w:w="1034"/>
        <w:gridCol w:w="645"/>
        <w:gridCol w:w="968"/>
        <w:gridCol w:w="3716"/>
      </w:tblGrid>
      <w:tr w14:paraId="35D2E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4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2022年度困难残疾人家庭无障碍改造项目绩效自评表</w:t>
            </w:r>
          </w:p>
        </w:tc>
      </w:tr>
      <w:tr w14:paraId="331C1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F8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162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2023年6月21日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65C66"/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69BF8"/>
        </w:tc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总分：100</w:t>
            </w:r>
          </w:p>
        </w:tc>
      </w:tr>
      <w:tr w14:paraId="614FB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曾都区2022年度困难残疾人家庭无障碍改造项目</w:t>
            </w:r>
          </w:p>
        </w:tc>
      </w:tr>
      <w:tr w14:paraId="37FA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市残联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A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</w:tr>
      <w:tr w14:paraId="69A25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7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3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5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1、部门预算项目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2、省专项       □    3、中央转移支付项目   □ </w:t>
            </w:r>
          </w:p>
        </w:tc>
      </w:tr>
      <w:tr w14:paraId="7D65D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5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43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1、持续性项目 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2、新增性项目   □</w:t>
            </w:r>
          </w:p>
        </w:tc>
      </w:tr>
      <w:tr w14:paraId="50D11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B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3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0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1、常年性项目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2、延续性项目   □    3、一次性项目   □</w:t>
            </w:r>
          </w:p>
        </w:tc>
      </w:tr>
      <w:tr w14:paraId="45D0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7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5634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预算数（A)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执行数(B)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执行率（B/A）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（20分*执行率）</w:t>
            </w:r>
          </w:p>
        </w:tc>
      </w:tr>
      <w:tr w14:paraId="5F35C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A9EE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4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8610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年初目标值(A）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实际完成值(B)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04C7B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C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B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740户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8C7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A11D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F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项目执行率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BE6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C27A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12月底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11月底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A020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9FF0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F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改造标准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根据改造方案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根据改造方案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DEC8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6A2C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消除障碍，方便生活，共享社会发展成果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1098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05EB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F7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关心理解残疾人生活水平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EC36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0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4307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5D2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FAA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偏差大或目标未完成原因分析</w:t>
            </w:r>
          </w:p>
        </w:tc>
        <w:tc>
          <w:tcPr>
            <w:tcW w:w="4307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E5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601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改进措施及结果应用方案</w:t>
            </w:r>
          </w:p>
        </w:tc>
        <w:tc>
          <w:tcPr>
            <w:tcW w:w="43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C111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F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1、预算执行情况口径：预算数为调整后财政资金总额（包括上年结余结转）。执行数为资金使用单位财政资金实际支出数。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定量指标完成数汇总原则：绝对值直接累加计算，相对值按照资金额度加权平均计算。定量指标计分原则：（即目标值为≥X得分=权重*B/A，反向指标（即目标值为≤X，得分=权重*A/B），得分不得突破权重总额。定量指标先汇总完成数，在计算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定性指标计分原则：达成预期指标、部门达成预期指标并具有一定效果、未达成预期指标且效果较差三挡，分别按照该指标对应分值区间100-80%（含80%）、80-50（含50%）、50-0%合理确定分值。汇总时，以资金额度为权重，对分值进行加权平均计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4、基于经济性和必要性等因素考虑，满意度指标暂可不作为必评指标。</w:t>
            </w:r>
          </w:p>
        </w:tc>
      </w:tr>
    </w:tbl>
    <w:p w14:paraId="6B14F02B">
      <w:pPr>
        <w:spacing w:line="560" w:lineRule="exact"/>
        <w:ind w:firstLine="560" w:firstLineChars="200"/>
        <w:rPr>
          <w:rFonts w:hint="eastAsia" w:ascii="华文仿宋" w:hAnsi="华文仿宋" w:eastAsia="华文仿宋" w:cs="宋体"/>
          <w:sz w:val="28"/>
          <w:szCs w:val="28"/>
        </w:rPr>
      </w:pPr>
    </w:p>
    <w:p w14:paraId="57EAAFF7">
      <w:pPr>
        <w:spacing w:line="560" w:lineRule="exact"/>
        <w:ind w:firstLine="560" w:firstLineChars="200"/>
        <w:rPr>
          <w:rFonts w:hint="eastAsia" w:ascii="华文仿宋" w:hAnsi="华文仿宋" w:eastAsia="华文仿宋" w:cs="宋体"/>
          <w:sz w:val="28"/>
          <w:szCs w:val="28"/>
        </w:rPr>
      </w:pPr>
    </w:p>
    <w:p w14:paraId="0E9A7410">
      <w:pPr>
        <w:spacing w:line="560" w:lineRule="exact"/>
        <w:ind w:firstLine="560" w:firstLineChars="200"/>
        <w:rPr>
          <w:rFonts w:ascii="华文仿宋" w:hAnsi="华文仿宋" w:eastAsia="华文仿宋" w:cs="宋体"/>
          <w:sz w:val="28"/>
          <w:szCs w:val="28"/>
          <w:highlight w:val="yellow"/>
        </w:rPr>
      </w:pPr>
    </w:p>
    <w:p w14:paraId="0B8B5285">
      <w:pPr>
        <w:widowControl/>
        <w:spacing w:before="156" w:beforeLines="50"/>
        <w:jc w:val="left"/>
        <w:textAlignment w:val="center"/>
        <w:outlineLvl w:val="0"/>
        <w:rPr>
          <w:rFonts w:ascii="宋体" w:hAnsi="宋体" w:eastAsia="宋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Arial Narrow" w:hAnsi="Arial Narrow"/>
          <w:sz w:val="28"/>
          <w:szCs w:val="28"/>
        </w:rPr>
        <w:t xml:space="preserve">附件3：2022 </w:t>
      </w:r>
      <w:r>
        <w:rPr>
          <w:rFonts w:hint="eastAsia" w:ascii="Arial Narrow" w:hAnsi="Arial Narrow"/>
          <w:sz w:val="28"/>
          <w:szCs w:val="28"/>
          <w:lang w:val="en-US" w:eastAsia="zh-CN"/>
        </w:rPr>
        <w:t>年度诉前人民调解案件补助项目</w:t>
      </w:r>
      <w:r>
        <w:rPr>
          <w:rFonts w:hint="eastAsia" w:ascii="Arial Narrow" w:hAnsi="Arial Narrow"/>
          <w:sz w:val="28"/>
          <w:szCs w:val="28"/>
        </w:rPr>
        <w:t>评价结果</w:t>
      </w:r>
    </w:p>
    <w:p w14:paraId="382F5C4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before="0" w:beforeLines="0" w:after="0" w:afterLines="0" w:line="580" w:lineRule="exact"/>
        <w:ind w:left="0" w:leftChars="0" w:right="0" w:rightChars="0" w:firstLine="600" w:firstLineChars="200"/>
        <w:textAlignment w:val="auto"/>
        <w:rPr>
          <w:rFonts w:ascii="黑体" w:hAnsi="黑体" w:eastAsia="黑体" w:cs="黑体"/>
          <w:bCs/>
          <w:sz w:val="30"/>
          <w:szCs w:val="32"/>
        </w:rPr>
      </w:pPr>
      <w:bookmarkStart w:id="2" w:name="_Toc12319"/>
      <w:r>
        <w:rPr>
          <w:rFonts w:hint="eastAsia" w:ascii="黑体" w:hAnsi="黑体" w:eastAsia="黑体" w:cs="黑体"/>
          <w:bCs/>
          <w:sz w:val="30"/>
          <w:szCs w:val="32"/>
        </w:rPr>
        <w:t>一、绩效目标</w:t>
      </w:r>
      <w:r>
        <w:rPr>
          <w:rFonts w:hint="eastAsia" w:ascii="黑体" w:hAnsi="黑体" w:eastAsia="黑体" w:cs="黑体"/>
          <w:bCs/>
          <w:sz w:val="30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bCs/>
          <w:sz w:val="30"/>
          <w:szCs w:val="32"/>
        </w:rPr>
        <w:t>下达情况</w:t>
      </w:r>
    </w:p>
    <w:p w14:paraId="09A94C0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曾都</w:t>
      </w:r>
      <w:r>
        <w:rPr>
          <w:rFonts w:hint="eastAsia" w:ascii="仿宋_GB2312" w:hAnsi="仿宋_GB2312" w:eastAsia="仿宋_GB2312" w:cs="仿宋_GB2312"/>
          <w:sz w:val="30"/>
          <w:szCs w:val="30"/>
        </w:rPr>
        <w:t>区司法局负责全区的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下设</w:t>
      </w:r>
      <w:r>
        <w:rPr>
          <w:rFonts w:hint="eastAsia" w:ascii="仿宋_GB2312" w:hAnsi="仿宋_GB2312" w:eastAsia="仿宋_GB2312" w:cs="仿宋_GB2312"/>
          <w:sz w:val="30"/>
          <w:szCs w:val="30"/>
        </w:rPr>
        <w:t>镇（办、管委会）司法所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、曾都区法律援助中心。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部门预算编制资金</w:t>
      </w:r>
    </w:p>
    <w:p w14:paraId="628E4DD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1299.11万元，主要为基本支出资金999.11万元 ，项目资金</w:t>
      </w:r>
    </w:p>
    <w:p w14:paraId="723C4B8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300万元， 项目资金主要用于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val="en-US" w:eastAsia="zh-CN"/>
        </w:rPr>
        <w:t>司法行政信息化建设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、社区矫正、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val="en-US" w:eastAsia="zh-CN"/>
        </w:rPr>
        <w:t>行政复议、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法律援助、法治建设等各项业务工作开支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</w:rPr>
        <w:t>。</w:t>
      </w:r>
    </w:p>
    <w:p w14:paraId="08D618B0">
      <w:pPr>
        <w:ind w:firstLine="600" w:firstLineChars="200"/>
        <w:rPr>
          <w:rFonts w:ascii="仿宋_GB2312" w:hAnsi="仿宋_GB2312" w:eastAsia="仿宋_GB2312" w:cs="仿宋_GB2312"/>
          <w:bCs/>
          <w:snapToGrid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曾都区司法局全年目标工作任务：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、全面开展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社区矫正、法治建设、人民调解、法律宣传等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各项业务工作，促进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依法治区工作上新台阶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着力保障社会民生改善，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积极开展法律服务工作，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推进公共法律服务优化升级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val="en-US" w:eastAsia="zh-CN"/>
        </w:rPr>
        <w:t>参与社会综合治理，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维护社会稳定。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 xml:space="preserve">、 加强司法行政装备建设，完善法务前沿工程和法务网格工程。      </w:t>
      </w:r>
    </w:p>
    <w:p w14:paraId="0C3AA713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before="0" w:beforeLines="0" w:after="0" w:afterLines="0" w:line="580" w:lineRule="exact"/>
        <w:ind w:left="0" w:leftChars="0" w:right="0" w:rightChars="0"/>
        <w:textAlignment w:val="auto"/>
        <w:rPr>
          <w:rFonts w:ascii="黑体" w:hAnsi="黑体" w:eastAsia="黑体" w:cs="黑体"/>
          <w:bCs/>
          <w:sz w:val="30"/>
          <w:szCs w:val="32"/>
        </w:rPr>
      </w:pPr>
      <w:r>
        <w:rPr>
          <w:rFonts w:hint="eastAsia" w:ascii="黑体" w:hAnsi="黑体" w:eastAsia="黑体" w:cs="黑体"/>
          <w:bCs/>
          <w:sz w:val="30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Cs/>
          <w:sz w:val="30"/>
          <w:szCs w:val="32"/>
        </w:rPr>
        <w:t>二、绩效目标完成情况分析</w:t>
      </w:r>
    </w:p>
    <w:p w14:paraId="008F6E4E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before="0" w:beforeLines="0" w:after="0" w:afterLines="0" w:line="580" w:lineRule="exact"/>
        <w:ind w:left="0" w:leftChars="0" w:right="0" w:rightChars="0" w:firstLine="602" w:firstLineChars="200"/>
        <w:textAlignment w:val="auto"/>
        <w:outlineLvl w:val="0"/>
        <w:rPr>
          <w:rFonts w:ascii="楷体_GB2312" w:hAnsi="楷体_GB2312" w:eastAsia="楷体_GB2312" w:cs="楷体_GB2312"/>
          <w:b/>
          <w:bCs/>
          <w:sz w:val="3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</w:rPr>
        <w:t>（一）资金投入情况分析。</w:t>
      </w:r>
    </w:p>
    <w:p w14:paraId="60333D1F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before="0" w:beforeLines="0" w:after="0" w:afterLines="0" w:line="580" w:lineRule="exact"/>
        <w:ind w:left="0" w:leftChars="0" w:right="0" w:rightChars="0" w:firstLine="60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项目资金300万元，其中有以下项目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普法依法治理经费8万元，“三调联动”工作经费7万元，社区矫正及刑释帮教安置项目16万元，法律顾问团专项经费41万元，行政调解、复议、诉讼工作、规范性文件审核经费29万元，　“法治新区”建设专项经费29万元，村(社区)法律顾问经费68万元，社区矫正手环项目8万元，司法行政信息化建设项目24万元，诉前人民调解案件补助70万元。</w:t>
      </w:r>
    </w:p>
    <w:p w14:paraId="2458A93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before="0" w:beforeLines="0" w:after="0" w:afterLines="0" w:line="580" w:lineRule="exact"/>
        <w:ind w:left="0" w:leftChars="0" w:right="0" w:rightChars="0" w:firstLine="600" w:firstLineChars="200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各项资金区财政局年初按时下达，为司法行政工作提供了及时的资金保障。按照资金使用要求，单位严格控制支出，根据预算项目，合理使用资金。项目资金为社区矫正、法治建设、司法行政工作信息化、人民调解、法律知识宣传工作提供了经费保障。</w:t>
      </w:r>
    </w:p>
    <w:p w14:paraId="27C2C90E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before="0" w:beforeLines="0" w:after="0" w:afterLines="0" w:line="580" w:lineRule="exact"/>
        <w:ind w:right="0" w:rightChars="0" w:firstLine="60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区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</w:rPr>
        <w:t>司法局根据工作进度，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  <w:lang w:val="en-US" w:eastAsia="zh-CN"/>
        </w:rPr>
        <w:t>本着节约、高效的原则使用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  <w:lang w:eastAsia="zh-CN"/>
        </w:rPr>
        <w:t>资金，保证资金发挥最大效益。严格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</w:rPr>
        <w:t>财务内控制度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</w:rPr>
        <w:t>强化财务管理和核算，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  <w:lang w:eastAsia="zh-CN"/>
        </w:rPr>
        <w:t>保证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  <w:lang w:val="en-US" w:eastAsia="zh-CN"/>
        </w:rPr>
        <w:t>绩效目标的实现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  <w:lang w:eastAsia="zh-CN"/>
        </w:rPr>
        <w:t>。全年资金</w:t>
      </w:r>
      <w:r>
        <w:rPr>
          <w:rFonts w:hint="eastAsia" w:ascii="仿宋_GB2312" w:hAnsi="华文楷体" w:eastAsia="仿宋_GB2312" w:cs="宋体"/>
          <w:color w:val="111111"/>
          <w:kern w:val="0"/>
          <w:sz w:val="30"/>
          <w:szCs w:val="30"/>
        </w:rPr>
        <w:t>审批支出监控有序，资金使用合理，会计资料真实、完整，会计核算准确，财务管理状况良好。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资金管理制度执行情况良好。</w:t>
      </w:r>
    </w:p>
    <w:p w14:paraId="49972FCD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</w:pPr>
    </w:p>
    <w:p w14:paraId="3FEEAC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autoSpaceDE/>
        <w:autoSpaceDN/>
        <w:bidi w:val="0"/>
        <w:spacing w:before="0" w:beforeLines="0" w:after="0" w:afterLines="0" w:line="580" w:lineRule="exact"/>
        <w:ind w:left="0" w:leftChars="0" w:right="0" w:rightChars="0"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</w:rPr>
        <w:t>总体绩效目标完成情况分析。</w:t>
      </w:r>
    </w:p>
    <w:p w14:paraId="77C90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曾都区司法局总体绩效目标任务完成情况：</w:t>
      </w:r>
    </w:p>
    <w:p w14:paraId="09196E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开展普法、人民调解、行政执法督查等工作，我区的依法治区水平达到提升。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强化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依法行政工作，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制定依法治区工作要点，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工作衔接，形成推动依法治区整体合力。二是积极推进政府重大决策合法性审查机制。三是进一步加强行政性规范性文件监督管理。有序推行行政规范性文件合法性审核机制，严格源头把关。四是认真开展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行政执法“三项制度”督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查工作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问题，整改落实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1EB16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>法律服务体系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val="en-US" w:eastAsia="zh-CN"/>
        </w:rPr>
        <w:t>进一步完善</w:t>
      </w:r>
      <w:r>
        <w:rPr>
          <w:rFonts w:hint="eastAsia" w:ascii="仿宋_GB2312" w:hAnsi="仿宋_GB2312" w:eastAsia="仿宋_GB2312" w:cs="仿宋_GB2312"/>
          <w:bCs/>
          <w:snapToGrid w:val="0"/>
          <w:sz w:val="30"/>
          <w:szCs w:val="30"/>
          <w:lang w:eastAsia="zh-CN"/>
        </w:rPr>
        <w:t xml:space="preserve">，为群众提供免费的法律服务及法律援助。一是延伸拓展法律顾问工作体系。继续坚持村、社区律师顾问制度，完善律师联系企业制度，畅通法律服务直通车机制。二是健全完善公共法律服务机制。深化公职律师、公司律师试点，推进律师进社区，倡导法律进乡村。三是做大做强法律援助实事项目。建立经济困难标准动态调整机制，进一步降低申请门槛，畅通申请渠道，简化审批程序，缩短审批时限，健全案件质量监督考评机制. </w:t>
      </w:r>
    </w:p>
    <w:p w14:paraId="7EF1ACBB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3、有效管控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特殊人群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全力维护社会和谐稳定，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是强化特殊人群监管帮扶。我局根据省社矫局相关规定，适时调整管控措施，加大电子巡查力度，全区社区矫正对象没有新冠肺炎疑似、确诊病例发生，没有社区矫正对象脱管、漏管现象发生，没有社区矫正重大安全事故、社区矫正对象参与群体性事件发生。二是加强矛盾纠纷排查化解。创新“网格＋调解”模式，组织广大人民调解员主动融入网格化基层社会治理体系，将服务范围从村延伸到户，建立调解员与网格员协作机制，加强对因疫情防控造成的物业管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邻里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、婚姻家庭、医患等方面的矛盾纠纷化调处；联合法院、信访等部门，建立健全矛盾纠纷分级处置、分类化解机制。三是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开展法治宣传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在综治宣传月、12.4等特殊日期，开展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法治宣传教育3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余次，发放宣传册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000余份。四是积极参与信访接待工作。组织律师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涉法涉诉信访接待，鼓励和规范律师、法律工作者参与重大复杂矛盾化解和代理涉法涉诉信访案件，并安排专门人员在疫情后到信访局值班，为来访群众提供法律咨询，积极帮助群众依法、理性表达诉求，有效促进纠纷妥善解决。五是认真做好刑满释放人员衔接安置帮教工作。在疫情期间，我们及时协调基层组织，协调其家属，搞好刑满释放人员的接送，履行交接手续，并及时向区（镇、街道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疫情防控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指挥部报告（反馈）现实外来刑释人员输入情况，将其健康检测报告等资料专送区（镇、街道）疫情防控指挥部，司法所及时协调村（社区）跟踪刑释人员的健康状况。</w:t>
      </w:r>
    </w:p>
    <w:p w14:paraId="01C7841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 w:val="0"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楷体_GB2312"/>
          <w:b w:val="0"/>
          <w:bCs w:val="0"/>
          <w:sz w:val="30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eastAsia="zh-CN"/>
        </w:rPr>
        <w:t>、</w:t>
      </w:r>
      <w:r>
        <w:rPr>
          <w:rFonts w:hint="default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eastAsia="zh-CN"/>
        </w:rPr>
        <w:t>社区矫正、安置帮教、人民调解等业务工作所必需的办案、业务、装备等经费支出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eastAsia="zh-CN"/>
        </w:rPr>
        <w:t>给予了有力保障。区司法局根据司法厅部署要求，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val="en-US" w:eastAsia="zh-CN"/>
        </w:rPr>
        <w:t>提升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eastAsia="zh-CN"/>
        </w:rPr>
        <w:t>公共法律服务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val="en-US" w:eastAsia="zh-CN"/>
        </w:rPr>
        <w:t>信息化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eastAsia="zh-CN"/>
        </w:rPr>
        <w:t>，实现办公网络化、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val="en-US" w:eastAsia="zh-CN"/>
        </w:rPr>
        <w:t>现代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000000"/>
          <w:sz w:val="32"/>
          <w:szCs w:val="24"/>
          <w:u w:val="none"/>
          <w:lang w:eastAsia="zh-CN"/>
        </w:rPr>
        <w:t>化。</w:t>
      </w:r>
    </w:p>
    <w:p w14:paraId="0BDB8F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autoSpaceDE/>
        <w:autoSpaceDN/>
        <w:bidi w:val="0"/>
        <w:spacing w:before="0" w:beforeLines="0" w:after="0" w:afterLines="0" w:line="580" w:lineRule="exact"/>
        <w:ind w:left="0" w:leftChars="0" w:right="0" w:rightChars="0"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</w:rPr>
        <w:t>绩效指标完成情况分析。</w:t>
      </w:r>
    </w:p>
    <w:p w14:paraId="55F21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2"/>
        </w:rPr>
        <w:t>（1）数量指标</w:t>
      </w:r>
      <w:r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年初绩效具体产出目标任务及完成情况：产出指标：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法律援助案件应援率（件）目标值100%，完成值100%。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社区矫正对象衔接率目标值100%，完成值100%。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③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社区矫正个别教育覆盖率目标值100%，完成值100%。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④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社区矫正对象电子定位率目标值100%，完成值100%。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⑤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社区矫正发生重特大安全事件目标值0，完成值0。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⑥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受理人民调解案件(件数）目标值200件，完成值2271件。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⑦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刑满释放帮教率目标值100%，完成值100%。⑧参与行政复议、行政诉讼目标值100%，完成值100%。各项工作数量指标都达到目标值。</w:t>
      </w:r>
    </w:p>
    <w:p w14:paraId="30B06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_GB2312" w:hAnsi="Times New Roman" w:eastAsia="仿宋_GB2312" w:cs="Times New Roman"/>
          <w:sz w:val="30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2"/>
        </w:rPr>
        <w:t>（2）质量指标。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1、2022年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法律援助结案率目标值90%，完成值71%.2、人民调解协议履行率目标值98%，完成值99%。3、人民调解成功率目标值96%，完成值96%。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法律援助案件结案率未达到目标值，原因是部分援助案件年底受理，短期无法办结；部分案件法院还未开庭判结。</w:t>
      </w:r>
    </w:p>
    <w:p w14:paraId="0C2F9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00" w:firstLineChars="200"/>
        <w:jc w:val="both"/>
        <w:textAlignment w:val="auto"/>
        <w:rPr>
          <w:rFonts w:ascii="仿宋_GB2312" w:hAnsi="Times New Roman" w:eastAsia="仿宋_GB2312" w:cs="Times New Roman"/>
          <w:sz w:val="30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2"/>
        </w:rPr>
        <w:t>2.效益指标完成情况分析。</w:t>
      </w:r>
    </w:p>
    <w:p w14:paraId="116D7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rPr>
          <w:rFonts w:ascii="仿宋_GB2312" w:hAnsi="Times New Roman" w:eastAsia="仿宋_GB2312" w:cs="Times New Roman"/>
          <w:sz w:val="30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0"/>
          <w:szCs w:val="32"/>
        </w:rPr>
        <w:t>效益</w:t>
      </w:r>
      <w:r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  <w:t>指标：社会效益指标，法治环境提升</w:t>
      </w:r>
      <w:r>
        <w:rPr>
          <w:rFonts w:hint="eastAsia" w:ascii="仿宋_GB2312" w:hAnsi="Times New Roman" w:eastAsia="仿宋_GB2312" w:cs="Times New Roman"/>
          <w:sz w:val="30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  <w:t>通过开展法治宣传、法律援助、法治建设及特殊人群的教育、矫正，曾都区干部群众法律意识整体提高，行政执法水平进一步提升。</w:t>
      </w:r>
    </w:p>
    <w:p w14:paraId="2FC6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00" w:firstLineChars="200"/>
        <w:jc w:val="both"/>
        <w:textAlignment w:val="auto"/>
        <w:rPr>
          <w:rFonts w:ascii="仿宋_GB2312" w:hAnsi="Times New Roman" w:eastAsia="仿宋_GB2312" w:cs="Times New Roman"/>
          <w:sz w:val="30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2"/>
        </w:rPr>
        <w:t>3.</w:t>
      </w:r>
      <w:r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  <w:t>约束性指标</w:t>
      </w:r>
      <w:r>
        <w:rPr>
          <w:rFonts w:hint="eastAsia" w:ascii="仿宋_GB2312" w:hAnsi="Times New Roman" w:eastAsia="仿宋_GB2312" w:cs="Times New Roman"/>
          <w:sz w:val="30"/>
          <w:szCs w:val="32"/>
        </w:rPr>
        <w:t>完成情况分析。</w:t>
      </w:r>
    </w:p>
    <w:p w14:paraId="172F2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2"/>
        </w:rPr>
        <w:t>资金管理</w:t>
      </w:r>
      <w:r>
        <w:rPr>
          <w:rFonts w:hint="eastAsia" w:ascii="仿宋_GB2312" w:hAnsi="Times New Roman" w:eastAsia="仿宋_GB2312" w:cs="Times New Roman"/>
          <w:sz w:val="30"/>
          <w:szCs w:val="32"/>
          <w:lang w:eastAsia="zh-CN"/>
        </w:rPr>
        <w:t>：资金管理合规性，</w:t>
      </w:r>
      <w:r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  <w:t>单位合理运用资金，按照预算及财经纪律规定，规范开支。</w:t>
      </w:r>
    </w:p>
    <w:p w14:paraId="06C9AA9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综合评价结果</w:t>
      </w:r>
    </w:p>
    <w:p w14:paraId="073E2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为客观评价单位绩效，单位成立了考核小组，通过到业务科室查数据、档案等多种形式，一一评价绩效完成情况。经认真测评，目标任务完成好，综合得分98分，评价等级为优。</w:t>
      </w:r>
    </w:p>
    <w:p w14:paraId="7DB0534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before="0" w:beforeLines="0" w:after="0" w:afterLines="0" w:line="580" w:lineRule="exact"/>
        <w:ind w:left="0" w:leftChars="0" w:right="0" w:rightChars="0" w:firstLine="600" w:firstLineChars="200"/>
        <w:textAlignment w:val="auto"/>
        <w:rPr>
          <w:rFonts w:ascii="仿宋_GB2312" w:hAnsi="Times New Roman" w:eastAsia="仿宋_GB2312" w:cs="Times New Roman"/>
          <w:sz w:val="30"/>
          <w:szCs w:val="32"/>
        </w:rPr>
      </w:pPr>
      <w:r>
        <w:rPr>
          <w:rFonts w:hint="eastAsia" w:ascii="黑体" w:hAnsi="黑体" w:eastAsia="黑体" w:cs="黑体"/>
          <w:bCs/>
          <w:sz w:val="30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0"/>
          <w:szCs w:val="32"/>
        </w:rPr>
        <w:t>、偏离绩效目标的原因和下一步改进措施</w:t>
      </w:r>
    </w:p>
    <w:p w14:paraId="7826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2"/>
          <w:lang w:val="en-US" w:eastAsia="zh-CN"/>
        </w:rPr>
        <w:t>2022年曾都区司法局全力维护社会和谐稳定 ，全面提升法律服务质量，全力推进法治曾都建设，达到年初总体绩效目标，但绩效指标还存在未完成情况，如法律援助案件结案率目标值100%，实际结案率71%，因法律援助案件受理晚、法院未开庭不能及时办结，未达到目标值。今后将积极配合法院审判，推动工作进度，从各方面促进法院及早开庭审理法律援助案件，最大限度保障法律援助对象的合法权益。</w:t>
      </w:r>
    </w:p>
    <w:p w14:paraId="15D25E7B">
      <w:pPr>
        <w:spacing w:line="360" w:lineRule="auto"/>
        <w:rPr>
          <w:rFonts w:ascii="楷体" w:hAns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kern w:val="0"/>
          <w:sz w:val="30"/>
          <w:szCs w:val="30"/>
        </w:rPr>
        <w:t>附件:</w:t>
      </w:r>
    </w:p>
    <w:bookmarkEnd w:id="2"/>
    <w:p w14:paraId="59D42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一、自评结论</w:t>
      </w:r>
    </w:p>
    <w:p w14:paraId="09F0B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(一）自评得分。</w:t>
      </w:r>
    </w:p>
    <w:p w14:paraId="09DEF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本部门今年在区级部门决算中反映所有项目绩效自评结果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为96分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B542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（二）绩效目标完成情况</w:t>
      </w:r>
    </w:p>
    <w:p w14:paraId="2B0C5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项目全年预算数为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算100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％。</w:t>
      </w:r>
    </w:p>
    <w:p w14:paraId="50BF6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完成的绩效目标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1F9E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凝聚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思想共识，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强化政治引领，提升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非公经注人士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综合素质。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区工商联组织干部职工洛阳镇九口堰五师旧址纪念馆，开展红色教育基地活动，厚植爱国主义情怀。在今后工作中</w:t>
      </w:r>
      <w:r>
        <w:rPr>
          <w:rFonts w:hint="eastAsia" w:ascii="仿宋_GB2312" w:hAnsi="仿宋_GB2312" w:eastAsia="仿宋_GB2312" w:cs="仿宋_GB2312"/>
          <w:sz w:val="32"/>
          <w:szCs w:val="32"/>
        </w:rPr>
        <w:t>将学习宣传贯彻党的二十大精神作为“首要议题”，确保党的二十大精神不折不扣落实在民营经济领域，落实到工商联工作全过程、各方面；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并拟组织部分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民营经济人士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代表在市委党校开展主题教育学习活动，号召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广大民营经济人士深入学习、准确把握，拥护党中央集中统一领导，自觉把思想和行动统一到党的二十大精神上来，把智慧和力量凝聚到落实党的二十大提出的各项任务上来，引导民营企业家努力适应时代变革，自觉把个人命运、企业命运融入国家和民族命运，以实际行动与人民群众共享改革发展成果，促进社会的稳定和谐。</w:t>
      </w:r>
    </w:p>
    <w:p w14:paraId="73F2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推进区非公有制企业投诉服务中心建设，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畅通民营企业诉求渠道，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助力营商环境优化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。截至目前，我区在投诉服务平台已注册认证企业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8000家，认证商会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家，认证律师2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人。区直相关部门建立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了区</w:t>
      </w:r>
      <w:r>
        <w:rPr>
          <w:rFonts w:hint="default" w:ascii="仿宋_GB2312" w:hAnsi="仿宋_GB2312" w:eastAsia="仿宋_GB2312" w:cs="仿宋_GB2312"/>
          <w:sz w:val="32"/>
          <w:szCs w:val="32"/>
        </w:rPr>
        <w:t>非公有制企业投诉服务联席会议制度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定期召开成员单位联席会议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具体负责人和经办人作为联络员，积极支持投诉服务中心工作。通过来访、来电、来信及网上受理非公企业维权投诉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线上受理诉求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29，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线下受理并处理投诉60多件，对企业提出的需要党委、政府协调解决的事项，积极主动做好跟进服务，做到“事事有着落、件件有回应”，切实帮助企业解决生产经营中遇到的问题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普遍</w:t>
      </w:r>
      <w:r>
        <w:rPr>
          <w:rFonts w:hint="eastAsia" w:ascii="仿宋_GB2312" w:hAnsi="仿宋_GB2312" w:eastAsia="仿宋_GB2312" w:cs="仿宋_GB2312"/>
          <w:sz w:val="32"/>
          <w:szCs w:val="32"/>
        </w:rPr>
        <w:t>认可和满意。</w:t>
      </w:r>
    </w:p>
    <w:p w14:paraId="390ED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（三）存在的问题和原因：</w:t>
      </w:r>
    </w:p>
    <w:p w14:paraId="2F8A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非公经济人士教育培训、联谊交流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等活动场次要增加，面向广大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非公经济人士组织学习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，做好政治引领，深入学习传达中央、省、市支持民营企业发展会议精神及惠企政策的宣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传。</w:t>
      </w:r>
    </w:p>
    <w:p w14:paraId="697EE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有制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企业投诉服务中心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的联企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E站</w:t>
      </w:r>
      <w:r>
        <w:rPr>
          <w:rFonts w:hint="eastAsia" w:ascii="仿宋_GB2312" w:hAnsi="仿宋_GB2312" w:eastAsia="仿宋_GB2312" w:cs="仿宋_GB2312"/>
          <w:sz w:val="32"/>
          <w:szCs w:val="32"/>
        </w:rPr>
        <w:t>还需要加大宣传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，注册率及平台投诉使用需要进一步提升，联合市场监督管理局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等部门深入开展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 w14:paraId="1E4A3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（四）下一步改进措施：</w:t>
      </w:r>
    </w:p>
    <w:p w14:paraId="2435E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深入学习贯彻习近平新时代中国特色社会主义思想，进一步加强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非公经人士教育培训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，深化理想信念教育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形式多样的民营经济人士教育培训，提高企业家研判形势、顺应时代的能力，更好服务两个健康。持续改进同民营经济代表人士的联系交友方式，办好亲清政商座谈会。开展“民营企业服务年”活动，实施“店小二”服务计划，助力各类惠企政策落实落细；加强与金融机构合作，不断扩大金融惠企政策覆盖面。持续开展“法律进企业、进商会”、“法治体检”等法律服务活动，为企业健康稳定发展提供坚实的法治保障。</w:t>
      </w:r>
    </w:p>
    <w:p w14:paraId="6E5A3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发挥投诉服务平台作用。畅通民营企业反映诉求的渠道，健全完善非公有制企业投诉服务中心功能体系，形成“党委重视、政府支持、部门协同，共同推动”的工作局面，确保凡事有交代、件件有落实、事事有回音，让企业心无旁骛干主业，踏踏实实做实业。同时，加强与政法部门的沟通协作，以建设法治政府、检察开放日等活动为契机，组织民营企业家与政法机关面对面咨询、解惑，依法维护企业家合法权益，积极帮助民营企业防范和化解各类法律风险，提高法律意识和法治思维，增强企业风险防控能力，畅通民营企业诉求渠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助力营商环境优化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30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二、佐证材料</w:t>
      </w:r>
    </w:p>
    <w:p w14:paraId="37A2D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（一）基本情况</w:t>
      </w:r>
    </w:p>
    <w:p w14:paraId="6AF78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项目全年预算数为33.14 万元，执行数为 33.14万元，完成预算100％。</w:t>
      </w:r>
    </w:p>
    <w:p w14:paraId="2CAE6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（二）部门自评工作开展情况</w:t>
      </w:r>
    </w:p>
    <w:p w14:paraId="33618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（1）科学公正。绩效评价应当运用科学合理的方法，按照规范的程序，对项目绩效进行客观、公正的反映。</w:t>
      </w:r>
    </w:p>
    <w:p w14:paraId="2B39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2）统筹兼顾。单位自评、部门评价和财政评价应职责明确，各有侧重，相互衔接。单位自评由项目单位自主实施，即“谁支出、谁自评”。部门评价和财政评价应在单位自评的基础上开展，必要时可委托第三方机构实施。</w:t>
      </w:r>
    </w:p>
    <w:p w14:paraId="7C632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（3）激励约束。绩效评价结果应与预算安排、政策调整、改进管理实质性挂钩，体现奖优罚劣和激励相容导向，有效要安排、低效要压减、无效要问责。</w:t>
      </w:r>
    </w:p>
    <w:p w14:paraId="4AAF8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（4）公开透明。绩效评价结果应依法依规公开，并自觉接受社会监督。</w:t>
      </w:r>
    </w:p>
    <w:p w14:paraId="0172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（三）绩效目标完成情况分析 </w:t>
      </w:r>
    </w:p>
    <w:p w14:paraId="4EA2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（1）严格执行《预算法》，强化支出责任，提高项目资金使用效益，对项目支出情况开展绩效评价，践行“花钱必问效、无效必问责”。</w:t>
      </w:r>
    </w:p>
    <w:p w14:paraId="0F115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2）通过对财政安排项目资金的绩效评价，进一步了解和掌握项目实施的具体情况，评价其项目资金安排的科学性、合理性、规范性和资金使用成效，及时总结项目管理经验，完善项目管理办法，提高项目管理水平和资金的使用效益。</w:t>
      </w:r>
    </w:p>
    <w:p w14:paraId="42C49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（3）促使项目承担科室及项目分管领导，对绩效评价中发现的问题，认真整改，及时调整和完善单位的工作计划和绩效目标，提高管理水平，同时为项目后续资金投入、分配和管理提供决策依据。</w:t>
      </w:r>
    </w:p>
    <w:p w14:paraId="202860B1">
      <w:pPr>
        <w:pStyle w:val="7"/>
        <w:spacing w:before="0" w:beforeAutospacing="0" w:after="0" w:line="562" w:lineRule="exact"/>
        <w:ind w:firstLine="560" w:firstLineChars="200"/>
        <w:jc w:val="left"/>
        <w:rPr>
          <w:rFonts w:hint="eastAsia" w:ascii="仿宋_GB2312" w:hAnsi="仿宋_GB2312" w:cs="Arial Narrow" w:eastAsiaTheme="minorEastAsia"/>
          <w:kern w:val="0"/>
        </w:rPr>
      </w:pPr>
    </w:p>
    <w:p w14:paraId="503E1961">
      <w:pPr>
        <w:pStyle w:val="7"/>
        <w:spacing w:before="0" w:beforeAutospacing="0" w:after="0" w:line="562" w:lineRule="exact"/>
        <w:ind w:firstLine="560" w:firstLineChars="200"/>
        <w:jc w:val="left"/>
        <w:rPr>
          <w:rFonts w:hint="eastAsia" w:ascii="仿宋_GB2312" w:hAnsi="仿宋_GB2312" w:cs="Arial Narrow" w:eastAsiaTheme="minorEastAsia"/>
          <w:kern w:val="0"/>
        </w:rPr>
      </w:pPr>
    </w:p>
    <w:p w14:paraId="2E9B58F9">
      <w:pPr>
        <w:pStyle w:val="7"/>
        <w:spacing w:before="0" w:beforeAutospacing="0" w:after="0" w:line="562" w:lineRule="exact"/>
        <w:ind w:firstLine="560" w:firstLineChars="200"/>
        <w:jc w:val="left"/>
        <w:rPr>
          <w:rFonts w:hint="eastAsia" w:ascii="仿宋_GB2312" w:hAnsi="仿宋_GB2312" w:cs="Arial Narrow" w:eastAsiaTheme="minorEastAsia"/>
          <w:kern w:val="0"/>
        </w:rPr>
      </w:pPr>
    </w:p>
    <w:p w14:paraId="53AF5A56">
      <w:pPr>
        <w:pStyle w:val="7"/>
        <w:spacing w:before="0" w:beforeAutospacing="0" w:after="0" w:line="562" w:lineRule="exact"/>
        <w:ind w:firstLine="560" w:firstLineChars="200"/>
        <w:jc w:val="left"/>
        <w:rPr>
          <w:rFonts w:hint="eastAsia" w:ascii="仿宋_GB2312" w:hAnsi="仿宋_GB2312" w:cs="Arial Narrow" w:eastAsiaTheme="minorEastAsia"/>
          <w:kern w:val="0"/>
        </w:rPr>
      </w:pPr>
    </w:p>
    <w:p w14:paraId="3B162DE7">
      <w:pPr>
        <w:pStyle w:val="7"/>
        <w:spacing w:before="0" w:beforeAutospacing="0" w:after="0" w:line="562" w:lineRule="exact"/>
        <w:ind w:firstLine="560" w:firstLineChars="200"/>
        <w:jc w:val="left"/>
        <w:rPr>
          <w:rFonts w:hint="eastAsia" w:ascii="仿宋_GB2312" w:hAnsi="仿宋_GB2312" w:cs="Arial Narrow" w:eastAsiaTheme="minorEastAsia"/>
          <w:kern w:val="0"/>
        </w:rPr>
      </w:pPr>
    </w:p>
    <w:p w14:paraId="4EC7ED99">
      <w:pPr>
        <w:widowControl/>
        <w:spacing w:line="560" w:lineRule="exact"/>
        <w:ind w:firstLine="600" w:firstLineChars="200"/>
        <w:jc w:val="left"/>
        <w:rPr>
          <w:rFonts w:hint="eastAsia" w:ascii="宋体" w:hAnsi="宋体" w:cs="Arial Narrow"/>
          <w:sz w:val="30"/>
          <w:szCs w:val="30"/>
        </w:rPr>
      </w:pPr>
      <w:r>
        <w:rPr>
          <w:rFonts w:hint="eastAsia" w:ascii="宋体" w:hAnsi="宋体" w:cs="Arial Narrow"/>
          <w:sz w:val="30"/>
          <w:szCs w:val="30"/>
        </w:rPr>
        <w:t>附件4：</w:t>
      </w:r>
      <w:r>
        <w:rPr>
          <w:rFonts w:hint="eastAsia" w:ascii="宋体" w:hAnsi="宋体" w:cs="Arial Narrow"/>
          <w:sz w:val="30"/>
          <w:szCs w:val="30"/>
          <w:lang w:val="en-US" w:eastAsia="zh-CN"/>
        </w:rPr>
        <w:t>2022年度曾都区工商联部门整体支出项目评价结果</w:t>
      </w:r>
    </w:p>
    <w:p w14:paraId="672C1330">
      <w:pPr>
        <w:widowControl/>
        <w:ind w:firstLine="640" w:firstLineChars="2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一、评价结论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 xml:space="preserve"> </w:t>
      </w:r>
    </w:p>
    <w:p w14:paraId="3F9F2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一、自评结论</w:t>
      </w:r>
    </w:p>
    <w:p w14:paraId="63AE3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(一）自评得分。</w:t>
      </w:r>
    </w:p>
    <w:p w14:paraId="495DD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本部门今年在区级部门决算中反映所有项目绩效自评结果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为96分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7898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（二）绩效目标完成情况</w:t>
      </w:r>
    </w:p>
    <w:p w14:paraId="75C3F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项目全年预算数为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算100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％。</w:t>
      </w:r>
    </w:p>
    <w:p w14:paraId="08026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完成的绩效目标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52E6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凝聚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思想共识，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强化政治引领，提升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非公经注人士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综合素质。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区工商联组织干部职工洛阳镇九口堰五师旧址纪念馆，开展红色教育基地活动，厚植爱国主义情怀。在今后工作中</w:t>
      </w:r>
      <w:r>
        <w:rPr>
          <w:rFonts w:hint="eastAsia" w:ascii="仿宋_GB2312" w:hAnsi="仿宋_GB2312" w:eastAsia="仿宋_GB2312" w:cs="仿宋_GB2312"/>
          <w:sz w:val="32"/>
          <w:szCs w:val="32"/>
        </w:rPr>
        <w:t>将学习宣传贯彻党的二十大精神作为“首要议题”，确保党的二十大精神不折不扣落实在民营经济领域，落实到工商联工作全过程、各方面；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并拟组织部分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民营经济人士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代表在市委党校开展主题教育学习活动，号召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广大民营经济人士深入学习、准确把握，拥护党中央集中统一领导，自觉把思想和行动统一到党的二十大精神上来，把智慧和力量凝聚到落实党的二十大提出的各项任务上来，引导民营企业家努力适应时代变革，自觉把个人命运、企业命运融入国家和民族命运，以实际行动与人民群众共享改革发展成果，促进社会的稳定和谐。</w:t>
      </w:r>
    </w:p>
    <w:p w14:paraId="5A29C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推进区非公有制企业投诉服务中心建设，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畅通民营企业诉求渠道，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助力营商环境优化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。截至目前，我区在投诉服务平台已注册认证企业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8000家，认证商会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家，认证律师2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人。区直相关部门建立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了区</w:t>
      </w:r>
      <w:r>
        <w:rPr>
          <w:rFonts w:hint="default" w:ascii="仿宋_GB2312" w:hAnsi="仿宋_GB2312" w:eastAsia="仿宋_GB2312" w:cs="仿宋_GB2312"/>
          <w:sz w:val="32"/>
          <w:szCs w:val="32"/>
        </w:rPr>
        <w:t>非公有制企业投诉服务联席会议制度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定期召开成员单位联席会议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具体负责人和经办人作为联络员，积极支持投诉服务中心工作。通过来访、来电、来信及网上受理非公企业维权投诉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线上受理诉求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29，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线下受理并处理投诉60多件，对企业提出的需要党委、政府协调解决的事项，积极主动做好跟进服务，做到“事事有着落、件件有回应”，切实帮助企业解决生产经营中遇到的问题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普遍</w:t>
      </w:r>
      <w:r>
        <w:rPr>
          <w:rFonts w:hint="eastAsia" w:ascii="仿宋_GB2312" w:hAnsi="仿宋_GB2312" w:eastAsia="仿宋_GB2312" w:cs="仿宋_GB2312"/>
          <w:sz w:val="32"/>
          <w:szCs w:val="32"/>
        </w:rPr>
        <w:t>认可和满意。</w:t>
      </w:r>
    </w:p>
    <w:p w14:paraId="6367B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（三）存在的问题和原因：</w:t>
      </w:r>
    </w:p>
    <w:p w14:paraId="688CD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非公经济人士教育培训、联谊交流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等活动场次要增加，面向广大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非公经济人士组织学习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，做好政治引领，深入学习传达中央、省、市支持民营企业发展会议精神及惠企政策的宣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传。</w:t>
      </w:r>
    </w:p>
    <w:p w14:paraId="79045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有制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企业投诉服务中心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的联企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E站</w:t>
      </w:r>
      <w:r>
        <w:rPr>
          <w:rFonts w:hint="eastAsia" w:ascii="仿宋_GB2312" w:hAnsi="仿宋_GB2312" w:eastAsia="仿宋_GB2312" w:cs="仿宋_GB2312"/>
          <w:sz w:val="32"/>
          <w:szCs w:val="32"/>
        </w:rPr>
        <w:t>还需要加大宣传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，注册率及平台投诉使用需要进一步提升，联合市场监督管理局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等部门深入开展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 w14:paraId="3B9A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（四）下一步改进措施：</w:t>
      </w:r>
    </w:p>
    <w:p w14:paraId="1A01E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深入学习贯彻习近平新时代中国特色社会主义思想，进一步加强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非公经人士教育培训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，深化理想信念教育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形式多样的民营经济人士教育培训，提高企业家研判形势、顺应时代的能力，更好服务两个健康。持续改进同民营经济代表人士的联系交友方式，办好亲清政商座谈会。开展“民营企业服务年”活动，实施“店小二”服务计划，助力各类惠企政策落实落细；加强与金融机构合作，不断扩大金融惠企政策覆盖面。持续开展“法律进企业、进商会”、“法治体检”等法律服务活动，为企业健康稳定发展提供坚实的法治保障。</w:t>
      </w:r>
    </w:p>
    <w:p w14:paraId="64A66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发挥投诉服务平台作用。畅通民营企业反映诉求的渠道，健全完善非公有制企业投诉服务中心功能体系，形成“党委重视、政府支持、部门协同，共同推动”的工作局面，确保凡事有交代、件件有落实、事事有回音，让企业心无旁骛干主业，踏踏实实做实业。同时，加强与政法部门的沟通协作，以建设法治政府、检察开放日等活动为契机，组织民营企业家与政法机关面对面咨询、解惑，依法维护企业家合法权益，积极帮助民营企业防范和化解各类法律风险，提高法律意识和法治思维，增强企业风险防控能力，畅通民营企业诉求渠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助力营商环境优化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49A0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二、佐证材料</w:t>
      </w:r>
    </w:p>
    <w:p w14:paraId="1F36F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（一）基本情况</w:t>
      </w:r>
    </w:p>
    <w:p w14:paraId="036CE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项目全年预算数为33.14 万元，执行数为 33.14万元，完成预算100％。</w:t>
      </w:r>
    </w:p>
    <w:p w14:paraId="36A6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（二）部门自评工作开展情况</w:t>
      </w:r>
    </w:p>
    <w:p w14:paraId="40E0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（1）科学公正。绩效评价应当运用科学合理的方法，按照规范的程序，对项目绩效进行客观、公正的反映。</w:t>
      </w:r>
    </w:p>
    <w:p w14:paraId="6ACF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2）统筹兼顾。单位自评、部门评价和财政评价应职责明确，各有侧重，相互衔接。单位自评由项目单位自主实施，即“谁支出、谁自评”。部门评价和财政评价应在单位自评的基础上开展，必要时可委托第三方机构实施。</w:t>
      </w:r>
    </w:p>
    <w:p w14:paraId="7B2DD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（3）激励约束。绩效评价结果应与预算安排、政策调整、改进管理实质性挂钩，体现奖优罚劣和激励相容导向，有效要安排、低效要压减、无效要问责。</w:t>
      </w:r>
    </w:p>
    <w:p w14:paraId="75943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（4）公开透明。绩效评价结果应依法依规公开，并自觉接受社会监督。</w:t>
      </w:r>
    </w:p>
    <w:p w14:paraId="6833D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（三）绩效目标完成情况分析 </w:t>
      </w:r>
    </w:p>
    <w:tbl>
      <w:tblPr>
        <w:tblStyle w:val="3"/>
        <w:tblpPr w:leftFromText="180" w:rightFromText="180" w:vertAnchor="text" w:horzAnchor="page" w:tblpX="2079" w:tblpY="276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896"/>
        <w:gridCol w:w="1406"/>
        <w:gridCol w:w="1406"/>
        <w:gridCol w:w="1321"/>
        <w:gridCol w:w="1109"/>
      </w:tblGrid>
      <w:tr w14:paraId="3B17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F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2022年度工商联绩效自评表</w:t>
            </w:r>
          </w:p>
        </w:tc>
      </w:tr>
      <w:tr w14:paraId="066E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B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填报日期：2023年6月12日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7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FB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02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380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7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总分：96分</w:t>
            </w:r>
          </w:p>
        </w:tc>
      </w:tr>
      <w:tr w14:paraId="5C40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曾都区工商业联合会</w:t>
            </w:r>
          </w:p>
        </w:tc>
      </w:tr>
      <w:tr w14:paraId="3F4E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基本支出总额</w:t>
            </w:r>
          </w:p>
        </w:tc>
        <w:tc>
          <w:tcPr>
            <w:tcW w:w="13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项目支出总额</w:t>
            </w:r>
          </w:p>
        </w:tc>
        <w:tc>
          <w:tcPr>
            <w:tcW w:w="1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33.14</w:t>
            </w:r>
          </w:p>
        </w:tc>
      </w:tr>
      <w:tr w14:paraId="1F66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3D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预算数（A)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执行数(B)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执行率（B/A）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（20分*执行率）</w:t>
            </w:r>
          </w:p>
        </w:tc>
      </w:tr>
      <w:tr w14:paraId="209F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5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部门整体支出总额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114.15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114.15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882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年初目标值(A）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实际完成值(B)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32A2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B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目标1(40分）：做好非公经济人士教育引领工作，促进“两个健康”发展。</w:t>
            </w:r>
          </w:p>
        </w:tc>
      </w:tr>
      <w:tr w14:paraId="15B5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2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培训、座谈会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5次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4次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9BF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E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3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培训合格率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&gt;90%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&gt;90%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2F7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3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提高非公企业经济发展</w:t>
            </w:r>
          </w:p>
        </w:tc>
        <w:tc>
          <w:tcPr>
            <w:tcW w:w="8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7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D08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6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2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35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非公经济人士满意度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&gt;90%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&gt;90%</w:t>
            </w: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5F6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目标2(XX分）：做好非公经济投诉服务中心工作</w:t>
            </w:r>
          </w:p>
        </w:tc>
      </w:tr>
      <w:tr w14:paraId="0FA1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C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5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3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受理投诉比例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710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B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FD9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投诉办结率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452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23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9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D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DA6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4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9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助力优化营商环境</w:t>
            </w:r>
          </w:p>
        </w:tc>
        <w:tc>
          <w:tcPr>
            <w:tcW w:w="8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7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5CFE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91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E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可持续发展影响指标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7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非公经济人士满意度</w:t>
            </w:r>
          </w:p>
        </w:tc>
        <w:tc>
          <w:tcPr>
            <w:tcW w:w="8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7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CE9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约束性指标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8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5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资金管理合规性</w:t>
            </w:r>
          </w:p>
        </w:tc>
        <w:tc>
          <w:tcPr>
            <w:tcW w:w="1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C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不设权重，酌情扣分，如出现审计等部门重点披露的问题，或造成重大不良社会影响，评价总得分不得超过70分。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</w:tr>
      <w:tr w14:paraId="3342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36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96分</w:t>
            </w:r>
          </w:p>
        </w:tc>
      </w:tr>
      <w:tr w14:paraId="08F6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偏差大或目标未完成原因分析</w:t>
            </w:r>
          </w:p>
        </w:tc>
        <w:tc>
          <w:tcPr>
            <w:tcW w:w="36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受新冠疫情影响，部分项目活动未按计划开展。</w:t>
            </w:r>
          </w:p>
        </w:tc>
      </w:tr>
      <w:tr w14:paraId="651C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改进措施及结果应用方案</w:t>
            </w:r>
          </w:p>
        </w:tc>
        <w:tc>
          <w:tcPr>
            <w:tcW w:w="36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进一步加强工商联作为纽带的积极作为，靠前服务，提前做好计划安排。</w:t>
            </w:r>
          </w:p>
        </w:tc>
      </w:tr>
      <w:tr w14:paraId="29A5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1、预算执行情况口径：预算数为调整后财政资金总额（包括上年结余结转）。执行数为资金使用单位财政资金实际支出数。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定量指标完成数汇总原则：绝对值直接累加计算，相对值按照资金额度加权平均计算。定量指标计分原则：（即目标值为≥X得分=权重*B/A，反向指标（即目标值为≤X，得分=权重*A/B），得分不得突破权重总额。定量指标先汇总完成数，在计算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定性指标计分原则：达成预期指标、部门达成预期指标并具有一定效果、未达成预期指标且效果较差三挡，分别按照该指标对应分值区间100-80%（含80%）、80-50（含50%）、50-0%合理确定分值。汇总时，以资金额度为权重，对分值进行加权平均计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4、基于经济性和必要性等因素考虑，满意度指标暂可不作为必评指标。</w:t>
            </w:r>
          </w:p>
        </w:tc>
      </w:tr>
    </w:tbl>
    <w:p w14:paraId="0DE4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（1）严格执行《预算法》，强化支出责任，提高项目资金使用效益，对项目支出情况开展绩效评价，践行“花钱必问效、无效必问责”。</w:t>
      </w:r>
    </w:p>
    <w:p w14:paraId="63791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2）通过对财政安排项目资金的绩效评价，进一步了解和掌握项目实施的具体情况，评价其项目资金安排的科学性、合理性、规范性和资金使用成效，及时总结项目管理经验，完善项目管理办法，提高项目管理水平和资金的使用效益。</w:t>
      </w:r>
    </w:p>
    <w:p w14:paraId="0FDF7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（3）促使项目承担科室及项目分管领导，对绩效评价中发现的问题，认真整改，及时调整和完善单位的工作计划和绩效目标，提高管理水平，同时为项目后续资金投入、分配和管理提供决策依据。</w:t>
      </w:r>
    </w:p>
    <w:p w14:paraId="27B29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C37B6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77AB8"/>
    <w:multiLevelType w:val="singleLevel"/>
    <w:tmpl w:val="F5A77AB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AD2E41D"/>
    <w:multiLevelType w:val="singleLevel"/>
    <w:tmpl w:val="4AD2E4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UxYjYyNGRlNzM2ZDkxN2U4MmE2ZTM0ODIxMzcifQ=="/>
  </w:docVars>
  <w:rsids>
    <w:rsidRoot w:val="00000000"/>
    <w:rsid w:val="40306525"/>
    <w:rsid w:val="526C16F3"/>
    <w:rsid w:val="77C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Body text|1"/>
    <w:basedOn w:val="1"/>
    <w:qFormat/>
    <w:uiPriority w:val="0"/>
    <w:pPr>
      <w:spacing w:before="100" w:beforeAutospacing="1" w:after="100" w:line="444" w:lineRule="auto"/>
      <w:ind w:firstLine="4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3128</Words>
  <Characters>3367</Characters>
  <Lines>0</Lines>
  <Paragraphs>0</Paragraphs>
  <TotalTime>0</TotalTime>
  <ScaleCrop>false</ScaleCrop>
  <LinksUpToDate>false</LinksUpToDate>
  <CharactersWithSpaces>3494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2023-10-12T00:55:00Z</dcterms:created>
  <dc:creator>Administrator</dc:creator>
  <cp:lastModifiedBy>wwww</cp:lastModifiedBy>
  <dcterms:modified xsi:type="dcterms:W3CDTF">2025-04-01T02:00:10Z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2BC4F0038E404AAB9192B42AB3828EF6_13</vt:lpwstr>
  </property>
  <property fmtid="{D5CDD505-2E9C-101B-9397-08002B2CF9AE}" pid="4" name="KSOTemplateDocerSaveRecord">
    <vt:lpwstr>eyJoZGlkIjoiOTJmNWNkNmEzOWY0NjIwMDM2YWVlMjNlY2Q4OWVmNzciLCJ1c2VySWQiOiIxMDM3NzUwNTQzIn0=</vt:lpwstr>
  </property>
</Properties>
</file>