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D4B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Style w:val="8"/>
          <w:rFonts w:hint="default" w:ascii="仿宋_GB2312" w:hAnsi="仿宋_GB2312" w:eastAsia="仿宋_GB2312" w:cs="仿宋_GB2312"/>
          <w:b/>
          <w:bCs/>
          <w:color w:val="000000"/>
          <w:spacing w:val="0"/>
          <w:sz w:val="32"/>
          <w:szCs w:val="32"/>
          <w:lang w:val="en-US" w:eastAsia="zh-CN"/>
        </w:rPr>
      </w:pPr>
      <w:r>
        <w:rPr>
          <w:rStyle w:val="8"/>
          <w:rFonts w:hint="eastAsia" w:ascii="仿宋_GB2312" w:hAnsi="仿宋_GB2312" w:eastAsia="仿宋_GB2312" w:cs="仿宋_GB2312"/>
          <w:b/>
          <w:bCs/>
          <w:color w:val="000000"/>
          <w:spacing w:val="0"/>
          <w:sz w:val="32"/>
          <w:szCs w:val="32"/>
          <w:lang w:eastAsia="zh-CN"/>
        </w:rPr>
        <w:t>附件</w:t>
      </w:r>
      <w:r>
        <w:rPr>
          <w:rStyle w:val="8"/>
          <w:rFonts w:hint="eastAsia" w:ascii="仿宋_GB2312" w:hAnsi="仿宋_GB2312" w:eastAsia="仿宋_GB2312" w:cs="仿宋_GB2312"/>
          <w:b/>
          <w:bCs/>
          <w:color w:val="000000"/>
          <w:spacing w:val="0"/>
          <w:sz w:val="32"/>
          <w:szCs w:val="32"/>
          <w:lang w:val="en-US" w:eastAsia="zh-CN"/>
        </w:rPr>
        <w:t>2</w:t>
      </w:r>
    </w:p>
    <w:p w14:paraId="6584528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b w:val="0"/>
          <w:bCs w:val="0"/>
          <w:sz w:val="36"/>
          <w:szCs w:val="36"/>
        </w:rPr>
      </w:pPr>
      <w:bookmarkStart w:id="0" w:name="_GoBack"/>
      <w:r>
        <w:rPr>
          <w:rStyle w:val="8"/>
          <w:rFonts w:hint="eastAsia" w:ascii="方正小标宋简体" w:hAnsi="方正小标宋简体" w:eastAsia="方正小标宋简体" w:cs="方正小标宋简体"/>
          <w:b w:val="0"/>
          <w:bCs w:val="0"/>
          <w:color w:val="000000"/>
          <w:spacing w:val="0"/>
          <w:sz w:val="36"/>
          <w:szCs w:val="36"/>
          <w:lang w:eastAsia="zh-CN"/>
        </w:rPr>
        <w:t>曾都区</w:t>
      </w:r>
      <w:r>
        <w:rPr>
          <w:rStyle w:val="8"/>
          <w:rFonts w:hint="eastAsia" w:ascii="方正小标宋简体" w:hAnsi="方正小标宋简体" w:eastAsia="方正小标宋简体" w:cs="方正小标宋简体"/>
          <w:b w:val="0"/>
          <w:bCs w:val="0"/>
          <w:color w:val="000000"/>
          <w:spacing w:val="0"/>
          <w:sz w:val="36"/>
          <w:szCs w:val="36"/>
        </w:rPr>
        <w:t>市场主体公共信用综合评价指标体系</w:t>
      </w:r>
    </w:p>
    <w:bookmarkEnd w:id="0"/>
    <w:tbl>
      <w:tblPr>
        <w:tblStyle w:val="6"/>
        <w:tblW w:w="10036"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5"/>
        <w:gridCol w:w="1417"/>
        <w:gridCol w:w="5954"/>
        <w:gridCol w:w="911"/>
        <w:gridCol w:w="989"/>
      </w:tblGrid>
      <w:tr w14:paraId="47451D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tcBorders>
              <w:top w:val="single" w:color="auto" w:sz="8" w:space="0"/>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078C6D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评价</w:t>
            </w:r>
          </w:p>
          <w:p w14:paraId="217694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类别</w:t>
            </w:r>
          </w:p>
        </w:tc>
        <w:tc>
          <w:tcPr>
            <w:tcW w:w="1417" w:type="dxa"/>
            <w:tcBorders>
              <w:top w:val="single" w:color="auto" w:sz="8" w:space="0"/>
              <w:left w:val="nil"/>
              <w:bottom w:val="single" w:color="auto" w:sz="8" w:space="0"/>
              <w:right w:val="single" w:color="auto" w:sz="8" w:space="0"/>
            </w:tcBorders>
            <w:shd w:val="clear" w:color="auto" w:fill="FFFFFF"/>
            <w:noWrap w:val="0"/>
            <w:tcMar>
              <w:top w:w="14" w:type="dxa"/>
              <w:left w:w="14" w:type="dxa"/>
              <w:right w:w="14" w:type="dxa"/>
            </w:tcMar>
            <w:vAlign w:val="center"/>
          </w:tcPr>
          <w:p w14:paraId="1825EF4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信息项</w:t>
            </w:r>
          </w:p>
        </w:tc>
        <w:tc>
          <w:tcPr>
            <w:tcW w:w="5954" w:type="dxa"/>
            <w:tcBorders>
              <w:top w:val="single" w:color="auto" w:sz="8" w:space="0"/>
              <w:left w:val="nil"/>
              <w:bottom w:val="single" w:color="auto" w:sz="8" w:space="0"/>
              <w:right w:val="single" w:color="auto" w:sz="8" w:space="0"/>
            </w:tcBorders>
            <w:shd w:val="clear" w:color="auto" w:fill="FFFFFF"/>
            <w:noWrap w:val="0"/>
            <w:tcMar>
              <w:top w:w="14" w:type="dxa"/>
              <w:left w:w="14" w:type="dxa"/>
              <w:right w:w="14" w:type="dxa"/>
            </w:tcMar>
            <w:vAlign w:val="center"/>
          </w:tcPr>
          <w:p w14:paraId="4D85AA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评价标准</w:t>
            </w:r>
          </w:p>
        </w:tc>
        <w:tc>
          <w:tcPr>
            <w:tcW w:w="911" w:type="dxa"/>
            <w:tcBorders>
              <w:top w:val="single" w:color="auto" w:sz="8" w:space="0"/>
              <w:left w:val="nil"/>
              <w:bottom w:val="single" w:color="auto" w:sz="8" w:space="0"/>
              <w:right w:val="single" w:color="auto" w:sz="8" w:space="0"/>
            </w:tcBorders>
            <w:shd w:val="clear" w:color="auto" w:fill="FFFFFF"/>
            <w:noWrap w:val="0"/>
            <w:tcMar>
              <w:top w:w="14" w:type="dxa"/>
              <w:left w:w="14" w:type="dxa"/>
              <w:right w:w="14" w:type="dxa"/>
            </w:tcMar>
            <w:vAlign w:val="center"/>
          </w:tcPr>
          <w:p w14:paraId="10F391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加减分</w:t>
            </w:r>
          </w:p>
        </w:tc>
        <w:tc>
          <w:tcPr>
            <w:tcW w:w="989" w:type="dxa"/>
            <w:tcBorders>
              <w:top w:val="single" w:color="auto" w:sz="8" w:space="0"/>
              <w:left w:val="nil"/>
              <w:bottom w:val="single" w:color="auto" w:sz="8" w:space="0"/>
              <w:right w:val="single" w:color="auto" w:sz="8" w:space="0"/>
            </w:tcBorders>
            <w:shd w:val="clear" w:color="auto" w:fill="FFFFFF"/>
            <w:noWrap w:val="0"/>
            <w:tcMar>
              <w:top w:w="14" w:type="dxa"/>
              <w:left w:w="14" w:type="dxa"/>
              <w:right w:w="14" w:type="dxa"/>
            </w:tcMar>
            <w:vAlign w:val="center"/>
          </w:tcPr>
          <w:p w14:paraId="32AFFB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备注</w:t>
            </w:r>
          </w:p>
        </w:tc>
      </w:tr>
      <w:tr w14:paraId="1576C8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restart"/>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79B33E6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诚信信息</w:t>
            </w:r>
          </w:p>
          <w:p w14:paraId="269527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417" w:type="dxa"/>
            <w:vMerge w:val="restart"/>
            <w:tcBorders>
              <w:top w:val="nil"/>
              <w:left w:val="nil"/>
              <w:bottom w:val="single" w:color="auto" w:sz="8" w:space="0"/>
              <w:right w:val="single" w:color="auto" w:sz="8" w:space="0"/>
            </w:tcBorders>
            <w:noWrap w:val="0"/>
            <w:tcMar>
              <w:top w:w="14" w:type="dxa"/>
              <w:left w:w="14" w:type="dxa"/>
              <w:right w:w="14" w:type="dxa"/>
            </w:tcMar>
            <w:vAlign w:val="center"/>
          </w:tcPr>
          <w:p w14:paraId="5B03F2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企业捐款捐物信息</w:t>
            </w: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37795C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现金捐款1000-10000元的，每1000元加1分；</w:t>
            </w:r>
          </w:p>
          <w:p w14:paraId="62582D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捐物2000-20000元的，每2000元加1分</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5270B09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vMerge w:val="restart"/>
            <w:tcBorders>
              <w:top w:val="nil"/>
              <w:left w:val="nil"/>
              <w:bottom w:val="single" w:color="auto" w:sz="8" w:space="0"/>
              <w:right w:val="single" w:color="auto" w:sz="8" w:space="0"/>
            </w:tcBorders>
            <w:noWrap w:val="0"/>
            <w:tcMar>
              <w:top w:w="14" w:type="dxa"/>
              <w:left w:w="14" w:type="dxa"/>
              <w:right w:w="14" w:type="dxa"/>
            </w:tcMar>
            <w:vAlign w:val="center"/>
          </w:tcPr>
          <w:p w14:paraId="2683AD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捐款捐物每年最多加40分　</w:t>
            </w:r>
          </w:p>
        </w:tc>
      </w:tr>
      <w:tr w14:paraId="14F717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319F4C73">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4F1A7862">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0F549D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现金捐款10001-50000元的，每4000元加1分；</w:t>
            </w:r>
          </w:p>
          <w:p w14:paraId="32F695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捐物20001-100000元的，每8000元加1分</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2654AD0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1E24C1C3">
            <w:pPr>
              <w:rPr>
                <w:rFonts w:hint="eastAsia" w:ascii="仿宋_GB2312" w:hAnsi="仿宋_GB2312" w:eastAsia="仿宋_GB2312" w:cs="仿宋_GB2312"/>
                <w:sz w:val="28"/>
                <w:szCs w:val="28"/>
              </w:rPr>
            </w:pPr>
          </w:p>
        </w:tc>
      </w:tr>
      <w:tr w14:paraId="45E68A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0FE9F56D">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476D0ACC">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1E570E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现金捐款50001-100000元的，每5000元加1分；</w:t>
            </w:r>
          </w:p>
          <w:p w14:paraId="782E631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捐物100001-200000元的，每1万元加1分</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0A1362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6090995D">
            <w:pPr>
              <w:rPr>
                <w:rFonts w:hint="eastAsia" w:ascii="仿宋_GB2312" w:hAnsi="仿宋_GB2312" w:eastAsia="仿宋_GB2312" w:cs="仿宋_GB2312"/>
                <w:sz w:val="28"/>
                <w:szCs w:val="28"/>
              </w:rPr>
            </w:pPr>
          </w:p>
        </w:tc>
      </w:tr>
      <w:tr w14:paraId="64922D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5523787B">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3F84F331">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4128B9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现金捐款10万元以上的，每1万元加1分；</w:t>
            </w:r>
          </w:p>
          <w:p w14:paraId="56FB52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捐物20万元以上的，每2万元加1分</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64AF86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03619F08">
            <w:pPr>
              <w:rPr>
                <w:rFonts w:hint="eastAsia" w:ascii="仿宋_GB2312" w:hAnsi="仿宋_GB2312" w:eastAsia="仿宋_GB2312" w:cs="仿宋_GB2312"/>
                <w:sz w:val="28"/>
                <w:szCs w:val="28"/>
              </w:rPr>
            </w:pPr>
          </w:p>
        </w:tc>
      </w:tr>
      <w:tr w14:paraId="28A572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2DCAFBBA">
            <w:pPr>
              <w:rPr>
                <w:rFonts w:hint="eastAsia" w:ascii="仿宋_GB2312" w:hAnsi="仿宋_GB2312" w:eastAsia="仿宋_GB2312" w:cs="仿宋_GB2312"/>
                <w:sz w:val="28"/>
                <w:szCs w:val="28"/>
              </w:rPr>
            </w:pPr>
          </w:p>
        </w:tc>
        <w:tc>
          <w:tcPr>
            <w:tcW w:w="1417" w:type="dxa"/>
            <w:vMerge w:val="restart"/>
            <w:tcBorders>
              <w:top w:val="nil"/>
              <w:left w:val="nil"/>
              <w:bottom w:val="single" w:color="auto" w:sz="8" w:space="0"/>
              <w:right w:val="single" w:color="auto" w:sz="8" w:space="0"/>
            </w:tcBorders>
            <w:noWrap w:val="0"/>
            <w:tcMar>
              <w:top w:w="14" w:type="dxa"/>
              <w:left w:w="14" w:type="dxa"/>
              <w:right w:w="14" w:type="dxa"/>
            </w:tcMar>
            <w:vAlign w:val="center"/>
          </w:tcPr>
          <w:p w14:paraId="1944D8F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个体工商户捐款捐物信息</w:t>
            </w: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528A7FB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现金捐款200-2000元的，每200元加1分；</w:t>
            </w:r>
          </w:p>
          <w:p w14:paraId="5CF005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捐物400-4000元的，每400元加1分</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721457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vMerge w:val="restart"/>
            <w:tcBorders>
              <w:top w:val="nil"/>
              <w:left w:val="nil"/>
              <w:bottom w:val="single" w:color="auto" w:sz="8" w:space="0"/>
              <w:right w:val="single" w:color="auto" w:sz="8" w:space="0"/>
            </w:tcBorders>
            <w:noWrap w:val="0"/>
            <w:tcMar>
              <w:top w:w="14" w:type="dxa"/>
              <w:left w:w="14" w:type="dxa"/>
              <w:right w:w="14" w:type="dxa"/>
            </w:tcMar>
            <w:vAlign w:val="center"/>
          </w:tcPr>
          <w:p w14:paraId="4C385D0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捐款捐物每年最多加40分</w:t>
            </w:r>
          </w:p>
        </w:tc>
      </w:tr>
      <w:tr w14:paraId="263135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4D438C0F">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0A3E45AA">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57113C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捐款2001-10000元的，每800元加1分；</w:t>
            </w:r>
          </w:p>
          <w:p w14:paraId="781F45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捐物4001-20000元的，每1600元加1分</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1A7E07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160F314F">
            <w:pPr>
              <w:rPr>
                <w:rFonts w:hint="eastAsia" w:ascii="仿宋_GB2312" w:hAnsi="仿宋_GB2312" w:eastAsia="仿宋_GB2312" w:cs="仿宋_GB2312"/>
                <w:sz w:val="28"/>
                <w:szCs w:val="28"/>
              </w:rPr>
            </w:pPr>
          </w:p>
        </w:tc>
      </w:tr>
      <w:tr w14:paraId="0840D6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2BD5E534">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586B9E6A">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6E9D92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捐款10001-20000元的，每1000元加1分</w:t>
            </w:r>
          </w:p>
          <w:p w14:paraId="7CCBB1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捐物20001-40000元的，每2000元加1分</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2DFBE4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493BFE9A">
            <w:pPr>
              <w:rPr>
                <w:rFonts w:hint="eastAsia" w:ascii="仿宋_GB2312" w:hAnsi="仿宋_GB2312" w:eastAsia="仿宋_GB2312" w:cs="仿宋_GB2312"/>
                <w:sz w:val="28"/>
                <w:szCs w:val="28"/>
              </w:rPr>
            </w:pPr>
          </w:p>
        </w:tc>
      </w:tr>
      <w:tr w14:paraId="3AC79C1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7"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7950DCAB">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12B76118">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7D61866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捐款2万元以上的，每2000元加1分；</w:t>
            </w:r>
          </w:p>
          <w:p w14:paraId="13E03B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捐物4万元以上的，每4000元加1分</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6F3810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612865D3">
            <w:pPr>
              <w:rPr>
                <w:rFonts w:hint="eastAsia" w:ascii="仿宋_GB2312" w:hAnsi="仿宋_GB2312" w:eastAsia="仿宋_GB2312" w:cs="仿宋_GB2312"/>
                <w:sz w:val="28"/>
                <w:szCs w:val="28"/>
              </w:rPr>
            </w:pPr>
          </w:p>
        </w:tc>
      </w:tr>
      <w:tr w14:paraId="2528BE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03EA1F3B">
            <w:pPr>
              <w:rPr>
                <w:rFonts w:hint="eastAsia" w:ascii="仿宋_GB2312" w:hAnsi="仿宋_GB2312" w:eastAsia="仿宋_GB2312" w:cs="仿宋_GB2312"/>
                <w:sz w:val="28"/>
                <w:szCs w:val="28"/>
              </w:rPr>
            </w:pPr>
          </w:p>
        </w:tc>
        <w:tc>
          <w:tcPr>
            <w:tcW w:w="1417" w:type="dxa"/>
            <w:vMerge w:val="restart"/>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3ECB8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表彰奖励</w:t>
            </w:r>
          </w:p>
          <w:p w14:paraId="18AE88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信息</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497ED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受到区级部门表彰奖励的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F113E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68368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2E422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7C335FF2">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59D3046">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A50BC5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w:t>
            </w:r>
            <w:r>
              <w:rPr>
                <w:rFonts w:hint="eastAsia" w:ascii="仿宋_GB2312" w:hAnsi="仿宋_GB2312" w:eastAsia="仿宋_GB2312" w:cs="仿宋_GB2312"/>
                <w:sz w:val="28"/>
                <w:szCs w:val="28"/>
                <w:lang w:eastAsia="zh-CN"/>
              </w:rPr>
              <w:t>随州</w:t>
            </w:r>
            <w:r>
              <w:rPr>
                <w:rFonts w:hint="eastAsia" w:ascii="仿宋_GB2312" w:hAnsi="仿宋_GB2312" w:eastAsia="仿宋_GB2312" w:cs="仿宋_GB2312"/>
                <w:sz w:val="28"/>
                <w:szCs w:val="28"/>
              </w:rPr>
              <w:t>市级部门表彰奖励的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0F69E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94E65B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DB5CA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5"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5BA4DC52">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3101EE1">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481ECF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受到区级表彰奖励的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70AD85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18DC34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3A056E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7"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0DAA9D8F">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36A81E8">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0D0F00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受到省级部门表彰奖励的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6E5B99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+25</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0CA82F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43A87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59679FA9">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4F227B7">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11B66D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w:t>
            </w:r>
            <w:r>
              <w:rPr>
                <w:rFonts w:hint="eastAsia" w:ascii="仿宋_GB2312" w:hAnsi="仿宋_GB2312" w:eastAsia="仿宋_GB2312" w:cs="仿宋_GB2312"/>
                <w:sz w:val="28"/>
                <w:szCs w:val="28"/>
                <w:lang w:eastAsia="zh-CN"/>
              </w:rPr>
              <w:t>随州</w:t>
            </w:r>
            <w:r>
              <w:rPr>
                <w:rFonts w:hint="eastAsia" w:ascii="仿宋_GB2312" w:hAnsi="仿宋_GB2312" w:eastAsia="仿宋_GB2312" w:cs="仿宋_GB2312"/>
                <w:sz w:val="28"/>
                <w:szCs w:val="28"/>
              </w:rPr>
              <w:t>市级表彰奖励的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4855E7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0F7C7A2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859F0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69E30521">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886A238">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4457AF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受到省部级表彰奖励的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1DDDFF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282E6E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4A4D0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0827D713">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DA014BA">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4FD33F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受到国家级表彰奖励的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244BAA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66F6EE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5ED564E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200289DE">
            <w:pPr>
              <w:rPr>
                <w:rFonts w:hint="eastAsia" w:ascii="仿宋_GB2312" w:hAnsi="仿宋_GB2312" w:eastAsia="仿宋_GB2312" w:cs="仿宋_GB2312"/>
                <w:sz w:val="28"/>
                <w:szCs w:val="28"/>
              </w:rPr>
            </w:pPr>
          </w:p>
        </w:tc>
        <w:tc>
          <w:tcPr>
            <w:tcW w:w="1417" w:type="dxa"/>
            <w:vMerge w:val="restart"/>
            <w:tcBorders>
              <w:top w:val="nil"/>
              <w:left w:val="nil"/>
              <w:bottom w:val="single" w:color="auto" w:sz="8" w:space="0"/>
              <w:right w:val="single" w:color="auto" w:sz="8" w:space="0"/>
            </w:tcBorders>
            <w:noWrap w:val="0"/>
            <w:tcMar>
              <w:top w:w="14" w:type="dxa"/>
              <w:left w:w="14" w:type="dxa"/>
              <w:right w:w="14" w:type="dxa"/>
            </w:tcMar>
            <w:vAlign w:val="center"/>
          </w:tcPr>
          <w:p w14:paraId="6326E7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通报表扬信息</w:t>
            </w: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106F0EF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受到区级部门通报表扬的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60FB33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116D5A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08AA8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28B55FD4">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4ABC15FE">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73FE02F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w:t>
            </w:r>
            <w:r>
              <w:rPr>
                <w:rFonts w:hint="eastAsia" w:ascii="仿宋_GB2312" w:hAnsi="仿宋_GB2312" w:eastAsia="仿宋_GB2312" w:cs="仿宋_GB2312"/>
                <w:sz w:val="28"/>
                <w:szCs w:val="28"/>
                <w:lang w:eastAsia="zh-CN"/>
              </w:rPr>
              <w:t>随州</w:t>
            </w:r>
            <w:r>
              <w:rPr>
                <w:rFonts w:hint="eastAsia" w:ascii="仿宋_GB2312" w:hAnsi="仿宋_GB2312" w:eastAsia="仿宋_GB2312" w:cs="仿宋_GB2312"/>
                <w:sz w:val="28"/>
                <w:szCs w:val="28"/>
              </w:rPr>
              <w:t>市级部门通报表扬的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031284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190D2E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65401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3C270B29">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1F934414">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19AF07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受到区级通报表扬的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259AC3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183176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56A8873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446A58CD">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08E65A31">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14C96F6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受到省级部门通报表扬的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0E9FCA4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6549A3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08366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1B144F73">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2240C43C">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0000AA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w:t>
            </w:r>
            <w:r>
              <w:rPr>
                <w:rFonts w:hint="eastAsia" w:ascii="仿宋_GB2312" w:hAnsi="仿宋_GB2312" w:eastAsia="仿宋_GB2312" w:cs="仿宋_GB2312"/>
                <w:sz w:val="28"/>
                <w:szCs w:val="28"/>
                <w:lang w:eastAsia="zh-CN"/>
              </w:rPr>
              <w:t>随州</w:t>
            </w:r>
            <w:r>
              <w:rPr>
                <w:rFonts w:hint="eastAsia" w:ascii="仿宋_GB2312" w:hAnsi="仿宋_GB2312" w:eastAsia="仿宋_GB2312" w:cs="仿宋_GB2312"/>
                <w:sz w:val="28"/>
                <w:szCs w:val="28"/>
              </w:rPr>
              <w:t>市级通报表扬的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35AB7AB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+25</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69EA39A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90CE9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1A36579C">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4EFFD5FC">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47FF19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受到省部级通报表扬的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2DFB56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3633C0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B5F65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2"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3475D484">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noWrap w:val="0"/>
            <w:tcMar>
              <w:top w:w="14" w:type="dxa"/>
              <w:left w:w="14" w:type="dxa"/>
              <w:right w:w="14" w:type="dxa"/>
            </w:tcMar>
            <w:vAlign w:val="center"/>
          </w:tcPr>
          <w:p w14:paraId="340D661E">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6FEE00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受到国家级通报表扬的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3961B6D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0C4897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10BAA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restart"/>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0BDCAB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诚信信息</w:t>
            </w:r>
          </w:p>
        </w:tc>
        <w:tc>
          <w:tcPr>
            <w:tcW w:w="1417" w:type="dxa"/>
            <w:vMerge w:val="restart"/>
            <w:tcBorders>
              <w:top w:val="nil"/>
              <w:left w:val="nil"/>
              <w:bottom w:val="single" w:color="auto" w:sz="8" w:space="0"/>
              <w:right w:val="single" w:color="auto" w:sz="8" w:space="0"/>
            </w:tcBorders>
            <w:shd w:val="clear" w:color="auto" w:fill="auto"/>
            <w:noWrap w:val="0"/>
            <w:tcMar>
              <w:top w:w="14" w:type="dxa"/>
              <w:left w:w="14" w:type="dxa"/>
              <w:right w:w="14" w:type="dxa"/>
            </w:tcMar>
            <w:vAlign w:val="center"/>
          </w:tcPr>
          <w:p w14:paraId="07272C8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联合激励信息</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8E1FC2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环保、建设、海关等其他行业主管部门发布的单一行业评价等级较高的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32C0698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6695E3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0CDE5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5E4B69E4">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auto"/>
            <w:noWrap w:val="0"/>
            <w:tcMar>
              <w:top w:w="14" w:type="dxa"/>
              <w:left w:w="14" w:type="dxa"/>
              <w:right w:w="14" w:type="dxa"/>
            </w:tcMar>
            <w:vAlign w:val="center"/>
          </w:tcPr>
          <w:p w14:paraId="5B3028AE">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D60AC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统计、税务等部门发布的通用行业评价等级较高的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5C36BBD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592500B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AF5FD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23A82346">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auto"/>
            <w:noWrap w:val="0"/>
            <w:tcMar>
              <w:top w:w="14" w:type="dxa"/>
              <w:left w:w="14" w:type="dxa"/>
              <w:right w:w="14" w:type="dxa"/>
            </w:tcMar>
            <w:vAlign w:val="center"/>
          </w:tcPr>
          <w:p w14:paraId="59724E4D">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EC05F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列入守信联合激励对象名单的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2A5670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7DDFCAF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F110D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auto"/>
            <w:noWrap w:val="0"/>
            <w:tcMar>
              <w:top w:w="14" w:type="dxa"/>
              <w:left w:w="14" w:type="dxa"/>
              <w:right w:w="14" w:type="dxa"/>
            </w:tcMar>
            <w:vAlign w:val="center"/>
          </w:tcPr>
          <w:p w14:paraId="48720F98">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auto"/>
            <w:noWrap w:val="0"/>
            <w:tcMar>
              <w:top w:w="14" w:type="dxa"/>
              <w:left w:w="14" w:type="dxa"/>
              <w:right w:w="14" w:type="dxa"/>
            </w:tcMar>
            <w:vAlign w:val="center"/>
          </w:tcPr>
          <w:p w14:paraId="2F1A755C">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88BC5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国家公共信用综合评价等级较高的</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32CFE8D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30508D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5A6B92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noWrap w:val="0"/>
            <w:tcMar>
              <w:top w:w="14" w:type="dxa"/>
              <w:left w:w="14" w:type="dxa"/>
              <w:right w:w="14" w:type="dxa"/>
            </w:tcMar>
            <w:vAlign w:val="center"/>
          </w:tcPr>
          <w:p w14:paraId="5265DD03">
            <w:pPr>
              <w:rPr>
                <w:rFonts w:hint="eastAsia" w:ascii="仿宋_GB2312" w:hAnsi="仿宋_GB2312" w:eastAsia="仿宋_GB2312" w:cs="仿宋_GB2312"/>
                <w:sz w:val="28"/>
                <w:szCs w:val="28"/>
              </w:rPr>
            </w:pPr>
          </w:p>
        </w:tc>
        <w:tc>
          <w:tcPr>
            <w:tcW w:w="1417" w:type="dxa"/>
            <w:tcBorders>
              <w:top w:val="nil"/>
              <w:left w:val="nil"/>
              <w:bottom w:val="single" w:color="auto" w:sz="8" w:space="0"/>
              <w:right w:val="single" w:color="auto" w:sz="8" w:space="0"/>
            </w:tcBorders>
            <w:noWrap w:val="0"/>
            <w:tcMar>
              <w:top w:w="14" w:type="dxa"/>
              <w:left w:w="14" w:type="dxa"/>
              <w:right w:w="14" w:type="dxa"/>
            </w:tcMar>
            <w:vAlign w:val="center"/>
          </w:tcPr>
          <w:p w14:paraId="367DE8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其他诚信信息</w:t>
            </w:r>
          </w:p>
        </w:tc>
        <w:tc>
          <w:tcPr>
            <w:tcW w:w="5954" w:type="dxa"/>
            <w:tcBorders>
              <w:top w:val="nil"/>
              <w:left w:val="nil"/>
              <w:bottom w:val="single" w:color="auto" w:sz="8" w:space="0"/>
              <w:right w:val="single" w:color="auto" w:sz="8" w:space="0"/>
            </w:tcBorders>
            <w:noWrap w:val="0"/>
            <w:tcMar>
              <w:top w:w="14" w:type="dxa"/>
              <w:left w:w="14" w:type="dxa"/>
              <w:right w:w="14" w:type="dxa"/>
            </w:tcMar>
            <w:vAlign w:val="center"/>
          </w:tcPr>
          <w:p w14:paraId="183ABA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其他守信行为视情节加分</w:t>
            </w:r>
          </w:p>
        </w:tc>
        <w:tc>
          <w:tcPr>
            <w:tcW w:w="911" w:type="dxa"/>
            <w:tcBorders>
              <w:top w:val="nil"/>
              <w:left w:val="nil"/>
              <w:bottom w:val="single" w:color="auto" w:sz="8" w:space="0"/>
              <w:right w:val="single" w:color="auto" w:sz="8" w:space="0"/>
            </w:tcBorders>
            <w:noWrap w:val="0"/>
            <w:tcMar>
              <w:top w:w="14" w:type="dxa"/>
              <w:left w:w="14" w:type="dxa"/>
              <w:right w:w="14" w:type="dxa"/>
            </w:tcMar>
            <w:vAlign w:val="center"/>
          </w:tcPr>
          <w:p w14:paraId="41C6AA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+1至+5</w:t>
            </w:r>
          </w:p>
        </w:tc>
        <w:tc>
          <w:tcPr>
            <w:tcW w:w="989" w:type="dxa"/>
            <w:tcBorders>
              <w:top w:val="nil"/>
              <w:left w:val="nil"/>
              <w:bottom w:val="single" w:color="auto" w:sz="8" w:space="0"/>
              <w:right w:val="single" w:color="auto" w:sz="8" w:space="0"/>
            </w:tcBorders>
            <w:noWrap w:val="0"/>
            <w:tcMar>
              <w:top w:w="14" w:type="dxa"/>
              <w:left w:w="14" w:type="dxa"/>
              <w:right w:w="14" w:type="dxa"/>
            </w:tcMar>
            <w:vAlign w:val="center"/>
          </w:tcPr>
          <w:p w14:paraId="20ADE2E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4B2B6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restart"/>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2463EA5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失信</w:t>
            </w:r>
          </w:p>
          <w:p w14:paraId="52A4844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信息</w:t>
            </w:r>
          </w:p>
        </w:tc>
        <w:tc>
          <w:tcPr>
            <w:tcW w:w="1417" w:type="dxa"/>
            <w:vMerge w:val="restart"/>
            <w:tcBorders>
              <w:top w:val="nil"/>
              <w:left w:val="nil"/>
              <w:right w:val="single" w:color="auto" w:sz="8" w:space="0"/>
            </w:tcBorders>
            <w:shd w:val="clear" w:color="auto" w:fill="FFFFFF"/>
            <w:noWrap w:val="0"/>
            <w:tcMar>
              <w:top w:w="14" w:type="dxa"/>
              <w:left w:w="14" w:type="dxa"/>
              <w:right w:w="14" w:type="dxa"/>
            </w:tcMar>
            <w:vAlign w:val="center"/>
          </w:tcPr>
          <w:p w14:paraId="0C7031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欠税欠费信息</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A1811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拒不缴纳依法应当缴纳的税款的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59B970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68A520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46216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7F2D7276">
            <w:pPr>
              <w:rPr>
                <w:rFonts w:hint="eastAsia" w:ascii="仿宋_GB2312" w:hAnsi="仿宋_GB2312" w:eastAsia="仿宋_GB2312" w:cs="仿宋_GB2312"/>
                <w:sz w:val="28"/>
                <w:szCs w:val="28"/>
              </w:rPr>
            </w:pPr>
          </w:p>
        </w:tc>
        <w:tc>
          <w:tcPr>
            <w:tcW w:w="1417" w:type="dxa"/>
            <w:vMerge w:val="continue"/>
            <w:tcBorders>
              <w:left w:val="nil"/>
              <w:right w:val="single" w:color="auto" w:sz="8" w:space="0"/>
            </w:tcBorders>
            <w:shd w:val="clear" w:color="auto" w:fill="FFFFFF"/>
            <w:noWrap w:val="0"/>
            <w:tcMar>
              <w:top w:w="14" w:type="dxa"/>
              <w:left w:w="14" w:type="dxa"/>
              <w:right w:w="14" w:type="dxa"/>
            </w:tcMar>
            <w:vAlign w:val="center"/>
          </w:tcPr>
          <w:p w14:paraId="5D3A22CE">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2753D3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拒不缴纳依法应当缴纳的社会保险费的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30EEE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BA05A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424FF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063D7D47">
            <w:pPr>
              <w:rPr>
                <w:rFonts w:hint="eastAsia" w:ascii="仿宋_GB2312" w:hAnsi="仿宋_GB2312" w:eastAsia="仿宋_GB2312" w:cs="仿宋_GB2312"/>
                <w:sz w:val="28"/>
                <w:szCs w:val="28"/>
              </w:rPr>
            </w:pPr>
          </w:p>
        </w:tc>
        <w:tc>
          <w:tcPr>
            <w:tcW w:w="1417" w:type="dxa"/>
            <w:vMerge w:val="continue"/>
            <w:tcBorders>
              <w:left w:val="nil"/>
              <w:right w:val="single" w:color="auto" w:sz="8" w:space="0"/>
            </w:tcBorders>
            <w:shd w:val="clear" w:color="auto" w:fill="FFFFFF"/>
            <w:noWrap w:val="0"/>
            <w:tcMar>
              <w:top w:w="14" w:type="dxa"/>
              <w:left w:w="14" w:type="dxa"/>
              <w:right w:w="14" w:type="dxa"/>
            </w:tcMar>
            <w:vAlign w:val="center"/>
          </w:tcPr>
          <w:p w14:paraId="4572ED96">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BFBC8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拒不缴纳依法应当缴纳的行政事业性收费的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2632E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674FF5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2EDD4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7C8B5630">
            <w:pPr>
              <w:rPr>
                <w:rFonts w:hint="eastAsia" w:ascii="仿宋_GB2312" w:hAnsi="仿宋_GB2312" w:eastAsia="仿宋_GB2312" w:cs="仿宋_GB2312"/>
                <w:sz w:val="28"/>
                <w:szCs w:val="28"/>
              </w:rPr>
            </w:pPr>
          </w:p>
        </w:tc>
        <w:tc>
          <w:tcPr>
            <w:tcW w:w="1417" w:type="dxa"/>
            <w:vMerge w:val="continue"/>
            <w:tcBorders>
              <w:left w:val="nil"/>
              <w:right w:val="single" w:color="auto" w:sz="8" w:space="0"/>
            </w:tcBorders>
            <w:shd w:val="clear" w:color="auto" w:fill="FFFFFF"/>
            <w:noWrap w:val="0"/>
            <w:tcMar>
              <w:top w:w="14" w:type="dxa"/>
              <w:left w:w="14" w:type="dxa"/>
              <w:right w:w="14" w:type="dxa"/>
            </w:tcMar>
            <w:vAlign w:val="center"/>
          </w:tcPr>
          <w:p w14:paraId="6D8B483A">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D9BAB1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拒不缴纳依法应当缴纳的政府性基金的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95427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E62EC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3687E6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3EC54530">
            <w:pPr>
              <w:rPr>
                <w:rFonts w:hint="eastAsia" w:ascii="仿宋_GB2312" w:hAnsi="仿宋_GB2312" w:eastAsia="仿宋_GB2312" w:cs="仿宋_GB2312"/>
                <w:sz w:val="28"/>
                <w:szCs w:val="28"/>
              </w:rPr>
            </w:pPr>
          </w:p>
        </w:tc>
        <w:tc>
          <w:tcPr>
            <w:tcW w:w="1417" w:type="dxa"/>
            <w:vMerge w:val="continue"/>
            <w:tcBorders>
              <w:left w:val="nil"/>
              <w:right w:val="single" w:color="auto" w:sz="8" w:space="0"/>
            </w:tcBorders>
            <w:shd w:val="clear" w:color="auto" w:fill="FFFFFF"/>
            <w:noWrap w:val="0"/>
            <w:tcMar>
              <w:top w:w="14" w:type="dxa"/>
              <w:left w:w="14" w:type="dxa"/>
              <w:right w:w="14" w:type="dxa"/>
            </w:tcMar>
            <w:vAlign w:val="center"/>
          </w:tcPr>
          <w:p w14:paraId="3497E962">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260E8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存在拖欠水费的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F5296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5F397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p>
        </w:tc>
      </w:tr>
      <w:tr w14:paraId="781990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4C34012C">
            <w:pPr>
              <w:rPr>
                <w:rFonts w:hint="eastAsia" w:ascii="仿宋_GB2312" w:hAnsi="仿宋_GB2312" w:eastAsia="仿宋_GB2312" w:cs="仿宋_GB2312"/>
                <w:sz w:val="28"/>
                <w:szCs w:val="28"/>
              </w:rPr>
            </w:pPr>
          </w:p>
        </w:tc>
        <w:tc>
          <w:tcPr>
            <w:tcW w:w="1417" w:type="dxa"/>
            <w:vMerge w:val="continue"/>
            <w:tcBorders>
              <w:left w:val="nil"/>
              <w:right w:val="single" w:color="auto" w:sz="8" w:space="0"/>
            </w:tcBorders>
            <w:shd w:val="clear" w:color="auto" w:fill="FFFFFF"/>
            <w:noWrap w:val="0"/>
            <w:tcMar>
              <w:top w:w="14" w:type="dxa"/>
              <w:left w:w="14" w:type="dxa"/>
              <w:right w:w="14" w:type="dxa"/>
            </w:tcMar>
            <w:vAlign w:val="center"/>
          </w:tcPr>
          <w:p w14:paraId="1E5DA760">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CC32DB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存在拖欠</w:t>
            </w:r>
            <w:r>
              <w:rPr>
                <w:rFonts w:hint="eastAsia" w:ascii="仿宋_GB2312" w:hAnsi="仿宋_GB2312" w:eastAsia="仿宋_GB2312" w:cs="仿宋_GB2312"/>
                <w:sz w:val="28"/>
                <w:szCs w:val="28"/>
                <w:lang w:eastAsia="zh-CN"/>
              </w:rPr>
              <w:t>电</w:t>
            </w:r>
            <w:r>
              <w:rPr>
                <w:rFonts w:hint="eastAsia" w:ascii="仿宋_GB2312" w:hAnsi="仿宋_GB2312" w:eastAsia="仿宋_GB2312" w:cs="仿宋_GB2312"/>
                <w:sz w:val="28"/>
                <w:szCs w:val="28"/>
              </w:rPr>
              <w:t>费的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B7797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F7C025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p>
        </w:tc>
      </w:tr>
      <w:tr w14:paraId="6765AE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40AA92D">
            <w:pPr>
              <w:rPr>
                <w:rFonts w:hint="eastAsia" w:ascii="仿宋_GB2312" w:hAnsi="仿宋_GB2312" w:eastAsia="仿宋_GB2312" w:cs="仿宋_GB2312"/>
                <w:sz w:val="28"/>
                <w:szCs w:val="28"/>
              </w:rPr>
            </w:pPr>
          </w:p>
        </w:tc>
        <w:tc>
          <w:tcPr>
            <w:tcW w:w="1417" w:type="dxa"/>
            <w:vMerge w:val="continue"/>
            <w:tcBorders>
              <w:left w:val="nil"/>
              <w:bottom w:val="single" w:color="auto" w:sz="8" w:space="0"/>
              <w:right w:val="single" w:color="auto" w:sz="8" w:space="0"/>
            </w:tcBorders>
            <w:shd w:val="clear" w:color="auto" w:fill="FFFFFF"/>
            <w:noWrap w:val="0"/>
            <w:tcMar>
              <w:top w:w="14" w:type="dxa"/>
              <w:left w:w="14" w:type="dxa"/>
              <w:right w:w="14" w:type="dxa"/>
            </w:tcMar>
            <w:vAlign w:val="center"/>
          </w:tcPr>
          <w:p w14:paraId="48683981">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6B5A1C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存在拖欠</w:t>
            </w:r>
            <w:r>
              <w:rPr>
                <w:rFonts w:hint="eastAsia" w:ascii="仿宋_GB2312" w:hAnsi="仿宋_GB2312" w:eastAsia="仿宋_GB2312" w:cs="仿宋_GB2312"/>
                <w:sz w:val="28"/>
                <w:szCs w:val="28"/>
                <w:lang w:eastAsia="zh-CN"/>
              </w:rPr>
              <w:t>燃气费</w:t>
            </w:r>
            <w:r>
              <w:rPr>
                <w:rFonts w:hint="eastAsia" w:ascii="仿宋_GB2312" w:hAnsi="仿宋_GB2312" w:eastAsia="仿宋_GB2312" w:cs="仿宋_GB2312"/>
                <w:sz w:val="28"/>
                <w:szCs w:val="28"/>
              </w:rPr>
              <w:t>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1D7FE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D935B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p>
        </w:tc>
      </w:tr>
      <w:tr w14:paraId="63CFF6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4A5ECADE">
            <w:pPr>
              <w:rPr>
                <w:rFonts w:hint="eastAsia" w:ascii="仿宋_GB2312" w:hAnsi="仿宋_GB2312" w:eastAsia="仿宋_GB2312" w:cs="仿宋_GB2312"/>
                <w:sz w:val="28"/>
                <w:szCs w:val="28"/>
              </w:rPr>
            </w:pPr>
          </w:p>
        </w:tc>
        <w:tc>
          <w:tcPr>
            <w:tcW w:w="1417" w:type="dxa"/>
            <w:vMerge w:val="restart"/>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2DB04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违反信用承诺信息</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653BD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虚假申报、虚假承诺的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B1E3E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0CAF1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FE74A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1BAAE513">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DA4E7A1">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A3727A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不履行信用承诺义务的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36FD93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961711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2422C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22CB9D44">
            <w:pPr>
              <w:rPr>
                <w:rFonts w:hint="eastAsia" w:ascii="仿宋_GB2312" w:hAnsi="仿宋_GB2312" w:eastAsia="仿宋_GB2312" w:cs="仿宋_GB2312"/>
                <w:sz w:val="28"/>
                <w:szCs w:val="28"/>
              </w:rPr>
            </w:pPr>
          </w:p>
        </w:tc>
        <w:tc>
          <w:tcPr>
            <w:tcW w:w="1417"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43F2B2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高管失信信息</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9AC4F3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法定代表人、实际控制人等被列入</w:t>
            </w:r>
            <w:r>
              <w:rPr>
                <w:rFonts w:hint="eastAsia" w:ascii="仿宋_GB2312" w:hAnsi="仿宋_GB2312" w:eastAsia="仿宋_GB2312" w:cs="仿宋_GB2312"/>
                <w:sz w:val="28"/>
                <w:szCs w:val="28"/>
                <w:lang w:eastAsia="zh-CN"/>
              </w:rPr>
              <w:t>失信</w:t>
            </w:r>
            <w:r>
              <w:rPr>
                <w:rFonts w:hint="eastAsia" w:ascii="仿宋_GB2312" w:hAnsi="仿宋_GB2312" w:eastAsia="仿宋_GB2312" w:cs="仿宋_GB2312"/>
                <w:sz w:val="28"/>
                <w:szCs w:val="28"/>
              </w:rPr>
              <w:t>被执行人的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FC37D0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100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EC70BA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FC947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1559520F">
            <w:pPr>
              <w:rPr>
                <w:rFonts w:hint="eastAsia" w:ascii="仿宋_GB2312" w:hAnsi="仿宋_GB2312" w:eastAsia="仿宋_GB2312" w:cs="仿宋_GB2312"/>
                <w:sz w:val="28"/>
                <w:szCs w:val="28"/>
              </w:rPr>
            </w:pPr>
          </w:p>
        </w:tc>
        <w:tc>
          <w:tcPr>
            <w:tcW w:w="1417" w:type="dxa"/>
            <w:vMerge w:val="restart"/>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CA7E5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行政裁决信息</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70F43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不按要求履行生效的行政裁决等行政行为决定文书的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2D112E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F1D0A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D6B75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B605FF8">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F994284">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24519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拒不履行生效的行政裁决等行政行为决定文书的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9A811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BF347C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F85E3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35" w:hRule="atLeast"/>
          <w:jc w:val="center"/>
        </w:trPr>
        <w:tc>
          <w:tcPr>
            <w:tcW w:w="765" w:type="dxa"/>
            <w:vMerge w:val="restart"/>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07469F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p w14:paraId="2EA1AA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失信信息</w:t>
            </w:r>
          </w:p>
        </w:tc>
        <w:tc>
          <w:tcPr>
            <w:tcW w:w="1417" w:type="dxa"/>
            <w:vMerge w:val="restart"/>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9B8BD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p w14:paraId="2974E2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行政处罚信息</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933714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w:t>
            </w:r>
            <w:r>
              <w:rPr>
                <w:rFonts w:hint="eastAsia" w:ascii="仿宋_GB2312" w:hAnsi="仿宋_GB2312" w:eastAsia="仿宋_GB2312" w:cs="仿宋_GB2312"/>
                <w:sz w:val="28"/>
                <w:szCs w:val="28"/>
                <w:lang w:eastAsia="zh-CN"/>
              </w:rPr>
              <w:t>警告、</w:t>
            </w:r>
            <w:r>
              <w:rPr>
                <w:rFonts w:hint="eastAsia" w:ascii="仿宋_GB2312" w:hAnsi="仿宋_GB2312" w:eastAsia="仿宋_GB2312" w:cs="仿宋_GB2312"/>
                <w:sz w:val="28"/>
                <w:szCs w:val="28"/>
              </w:rPr>
              <w:t>通报批评行政处罚的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9A0085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34FE26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9B054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157A6B42">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B0743D9">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5B5512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对从轻或减轻处罚的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84E53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4A935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52675B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0A9F85A9">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3768CAF">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440857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对一般处罚的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284005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5BEEA4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C6952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947570A">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9E04843">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19938B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对从重处罚的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56C16A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100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A47D1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50CE6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32CE213D">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A83E86E">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DA99A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处以暂扣许可证件行政处罚的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746C97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BDB73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13EC0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2EA0F56D">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747BF98">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3E53A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处以降低资质等级行政处罚的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6788B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4E66DD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320433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495806FE">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C6484C2">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21371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处以限制开展生产经营活动行政处罚的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64CC25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156AEF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1C40D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280B24C5">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8042158">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E2140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处以限制从业行政处罚的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3A4CDA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6D213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2CCF5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C8D229E">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DA15175">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69B23B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处以责令停产停业行政处罚的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EAD1F9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48672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38BD9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7F8EA9A2">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380C5F7">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7BDA27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处以吊销许可证件行政处罚的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EE1D2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8AEC26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9C7C90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1BC56594">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0D7D6B3">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6E4187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处以责令关闭行政处罚的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A2E2AA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18207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318D2B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C38FE4A">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D19530C">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710E05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处以永久限制开展生产经营活动行政处罚的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402A0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4F1A8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6A446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494FBB45">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89BCEC1">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628F6D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处以终身限制从业行政处罚的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0E8A9C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42D55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CB75A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4A7A77F1">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0FEED2E">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059AA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受到法律、行政法规规定的其他行政处罚的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3B8EC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-20至－400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4A215F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65004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restart"/>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584EC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失信信息</w:t>
            </w:r>
          </w:p>
        </w:tc>
        <w:tc>
          <w:tcPr>
            <w:tcW w:w="1417" w:type="dxa"/>
            <w:vMerge w:val="restart"/>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0954E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行政强制</w:t>
            </w:r>
          </w:p>
          <w:p w14:paraId="7DB88B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执行信息</w:t>
            </w:r>
          </w:p>
          <w:p w14:paraId="29FCF6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25E62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被实施加处罚款或者滞纳金强制执行方式的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05889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8F3C8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1BFDD8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1DAFF51">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5E90E67">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76594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被实施划拨存款、汇款强制执行方式的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8547F2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C8D3A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1AE357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FD7EC3F">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E95CA2D">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641A2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被实施拍卖或者依法处理查封、扣押的场所、设施或者财物强制执行方式的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BA038B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D13A03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68507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756C19C4">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E2DDF84">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54357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被实施排除妨碍、恢复原状强制执行方式的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90565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29806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05D5E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2637FDB">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9B55A5B">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DB6A6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被实施代履行强制执行方式的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EAB11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E1BCD4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509CE9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7618D5DC">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8E71494">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CDE3D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被实施其他强制执行方式的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46A48E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-20至－100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306F86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059ED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2C3B41AD">
            <w:pPr>
              <w:rPr>
                <w:rFonts w:hint="eastAsia" w:ascii="仿宋_GB2312" w:hAnsi="仿宋_GB2312" w:eastAsia="仿宋_GB2312" w:cs="仿宋_GB2312"/>
                <w:sz w:val="28"/>
                <w:szCs w:val="28"/>
              </w:rPr>
            </w:pPr>
          </w:p>
        </w:tc>
        <w:tc>
          <w:tcPr>
            <w:tcW w:w="1417" w:type="dxa"/>
            <w:vMerge w:val="restart"/>
            <w:tcBorders>
              <w:top w:val="nil"/>
              <w:left w:val="nil"/>
              <w:right w:val="single" w:color="auto" w:sz="8" w:space="0"/>
            </w:tcBorders>
            <w:shd w:val="clear" w:color="auto" w:fill="FFFFFF"/>
            <w:noWrap w:val="0"/>
            <w:tcMar>
              <w:top w:w="14" w:type="dxa"/>
              <w:left w:w="14" w:type="dxa"/>
              <w:right w:w="14" w:type="dxa"/>
            </w:tcMar>
            <w:vAlign w:val="center"/>
          </w:tcPr>
          <w:p w14:paraId="54F9D5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诚信经营信息</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78EFC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存在未按照有关法律法规的规定进行年度报告公示记录的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5CDD47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833B6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70414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6F9B0E8">
            <w:pPr>
              <w:rPr>
                <w:rFonts w:hint="eastAsia" w:ascii="仿宋_GB2312" w:hAnsi="仿宋_GB2312" w:eastAsia="仿宋_GB2312" w:cs="仿宋_GB2312"/>
                <w:sz w:val="28"/>
                <w:szCs w:val="28"/>
              </w:rPr>
            </w:pPr>
          </w:p>
        </w:tc>
        <w:tc>
          <w:tcPr>
            <w:tcW w:w="1417" w:type="dxa"/>
            <w:vMerge w:val="continue"/>
            <w:tcBorders>
              <w:left w:val="nil"/>
              <w:right w:val="single" w:color="auto" w:sz="8" w:space="0"/>
            </w:tcBorders>
            <w:shd w:val="clear" w:color="auto" w:fill="FFFFFF"/>
            <w:noWrap w:val="0"/>
            <w:tcMar>
              <w:top w:w="14" w:type="dxa"/>
              <w:left w:w="14" w:type="dxa"/>
              <w:right w:w="14" w:type="dxa"/>
            </w:tcMar>
            <w:vAlign w:val="center"/>
          </w:tcPr>
          <w:p w14:paraId="1583BCD6">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33FE2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存在被税务主管部门认定为非正常户记录的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8B253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0FAD1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1A8DF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43ECC7D">
            <w:pPr>
              <w:rPr>
                <w:rFonts w:hint="eastAsia" w:ascii="仿宋_GB2312" w:hAnsi="仿宋_GB2312" w:eastAsia="仿宋_GB2312" w:cs="仿宋_GB2312"/>
                <w:sz w:val="28"/>
                <w:szCs w:val="28"/>
              </w:rPr>
            </w:pPr>
          </w:p>
        </w:tc>
        <w:tc>
          <w:tcPr>
            <w:tcW w:w="1417" w:type="dxa"/>
            <w:vMerge w:val="continue"/>
            <w:tcBorders>
              <w:left w:val="nil"/>
              <w:right w:val="single" w:color="auto" w:sz="8" w:space="0"/>
            </w:tcBorders>
            <w:shd w:val="clear" w:color="auto" w:fill="FFFFFF"/>
            <w:noWrap w:val="0"/>
            <w:tcMar>
              <w:top w:w="14" w:type="dxa"/>
              <w:left w:w="14" w:type="dxa"/>
              <w:right w:w="14" w:type="dxa"/>
            </w:tcMar>
            <w:vAlign w:val="center"/>
          </w:tcPr>
          <w:p w14:paraId="107326A3">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3F868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被列入经营异常名录的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31B23B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87AB86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1668A7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5D1602B">
            <w:pPr>
              <w:rPr>
                <w:rFonts w:hint="eastAsia" w:ascii="仿宋_GB2312" w:hAnsi="仿宋_GB2312" w:eastAsia="仿宋_GB2312" w:cs="仿宋_GB2312"/>
                <w:sz w:val="28"/>
                <w:szCs w:val="28"/>
              </w:rPr>
            </w:pPr>
          </w:p>
        </w:tc>
        <w:tc>
          <w:tcPr>
            <w:tcW w:w="1417" w:type="dxa"/>
            <w:vMerge w:val="continue"/>
            <w:tcBorders>
              <w:left w:val="nil"/>
              <w:right w:val="single" w:color="auto" w:sz="8" w:space="0"/>
            </w:tcBorders>
            <w:shd w:val="clear" w:color="auto" w:fill="FFFFFF"/>
            <w:noWrap w:val="0"/>
            <w:tcMar>
              <w:top w:w="14" w:type="dxa"/>
              <w:left w:w="14" w:type="dxa"/>
              <w:right w:w="14" w:type="dxa"/>
            </w:tcMar>
            <w:vAlign w:val="center"/>
          </w:tcPr>
          <w:p w14:paraId="3AFB9DEF">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4328E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频繁变更名称的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B9EF7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5EDDE1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p>
        </w:tc>
      </w:tr>
      <w:tr w14:paraId="551D50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2D71F969">
            <w:pPr>
              <w:rPr>
                <w:rFonts w:hint="eastAsia" w:ascii="仿宋_GB2312" w:hAnsi="仿宋_GB2312" w:eastAsia="仿宋_GB2312" w:cs="仿宋_GB2312"/>
                <w:sz w:val="28"/>
                <w:szCs w:val="28"/>
              </w:rPr>
            </w:pPr>
          </w:p>
        </w:tc>
        <w:tc>
          <w:tcPr>
            <w:tcW w:w="1417" w:type="dxa"/>
            <w:vMerge w:val="continue"/>
            <w:tcBorders>
              <w:left w:val="nil"/>
              <w:right w:val="single" w:color="auto" w:sz="8" w:space="0"/>
            </w:tcBorders>
            <w:shd w:val="clear" w:color="auto" w:fill="FFFFFF"/>
            <w:noWrap w:val="0"/>
            <w:tcMar>
              <w:top w:w="14" w:type="dxa"/>
              <w:left w:w="14" w:type="dxa"/>
              <w:right w:w="14" w:type="dxa"/>
            </w:tcMar>
            <w:vAlign w:val="center"/>
          </w:tcPr>
          <w:p w14:paraId="705B1AE9">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38987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频繁变更注册地址的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FF25E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B48DF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p>
        </w:tc>
      </w:tr>
      <w:tr w14:paraId="23FFC3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3027D88B">
            <w:pPr>
              <w:rPr>
                <w:rFonts w:hint="eastAsia" w:ascii="仿宋_GB2312" w:hAnsi="仿宋_GB2312" w:eastAsia="仿宋_GB2312" w:cs="仿宋_GB2312"/>
                <w:sz w:val="28"/>
                <w:szCs w:val="28"/>
              </w:rPr>
            </w:pPr>
          </w:p>
        </w:tc>
        <w:tc>
          <w:tcPr>
            <w:tcW w:w="1417" w:type="dxa"/>
            <w:vMerge w:val="continue"/>
            <w:tcBorders>
              <w:left w:val="nil"/>
              <w:bottom w:val="single" w:color="auto" w:sz="8" w:space="0"/>
              <w:right w:val="single" w:color="auto" w:sz="8" w:space="0"/>
            </w:tcBorders>
            <w:shd w:val="clear" w:color="auto" w:fill="FFFFFF"/>
            <w:noWrap w:val="0"/>
            <w:tcMar>
              <w:top w:w="14" w:type="dxa"/>
              <w:left w:w="14" w:type="dxa"/>
              <w:right w:w="14" w:type="dxa"/>
            </w:tcMar>
            <w:vAlign w:val="center"/>
          </w:tcPr>
          <w:p w14:paraId="1F5758F0">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CC5586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频繁变更经营者的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8E01F6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11E443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p>
        </w:tc>
      </w:tr>
      <w:tr w14:paraId="48C6D0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0C0D5F9">
            <w:pPr>
              <w:rPr>
                <w:rFonts w:hint="eastAsia" w:ascii="仿宋_GB2312" w:hAnsi="仿宋_GB2312" w:eastAsia="仿宋_GB2312" w:cs="仿宋_GB2312"/>
                <w:sz w:val="28"/>
                <w:szCs w:val="28"/>
              </w:rPr>
            </w:pPr>
          </w:p>
        </w:tc>
        <w:tc>
          <w:tcPr>
            <w:tcW w:w="1417"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7241F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其他失信信息</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AE475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国家和省规定的其他失信信息</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E8A28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-10至－400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984A9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36E131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restart"/>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3C3A0B8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严重失信主体名单信息</w:t>
            </w:r>
          </w:p>
        </w:tc>
        <w:tc>
          <w:tcPr>
            <w:tcW w:w="1417" w:type="dxa"/>
            <w:vMerge w:val="restart"/>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311B1E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严重危害人民群众身体健康和生命安全</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4F3541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被认定为食品药品领域严重失信主体名单的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2BBB3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AA4210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9AB4C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21E8F36E">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60CB4B6">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817EB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被认定为生态环境领域严重失信主体名单的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7F14A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9A015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DF91B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C7C6D69">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B03EC02">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566DF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被认定为工程质量领域严重失信主体名单的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1E3CA2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19B6D5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5724BF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40656029">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69F6BB5">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23A94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被认定为安全生产领域严重失信主体名单的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172FE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D110A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378A2B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4EB8CE1">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AD88E5A">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A1EE76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被认定为消防安全领域严重失信主体名单的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20AFD7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9607D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1C3A7D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757244C0">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53E9C98">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AC4AE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被认定为强制性产品认证领域严重失信主体名单的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E9BFD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45A00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52D945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9"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0C25A364">
            <w:pPr>
              <w:rPr>
                <w:rFonts w:hint="eastAsia" w:ascii="仿宋_GB2312" w:hAnsi="仿宋_GB2312" w:eastAsia="仿宋_GB2312" w:cs="仿宋_GB2312"/>
                <w:sz w:val="28"/>
                <w:szCs w:val="28"/>
              </w:rPr>
            </w:pPr>
          </w:p>
        </w:tc>
        <w:tc>
          <w:tcPr>
            <w:tcW w:w="1417" w:type="dxa"/>
            <w:vMerge w:val="restart"/>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415D76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1"/>
                <w:sz w:val="28"/>
                <w:szCs w:val="28"/>
              </w:rPr>
              <w:t>严重破坏市场公平竞争秩序和社会正常秩序</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D0293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被认定为贿赂行为严重失信主体名单的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4B04D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3A7BFA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65E1F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0A2F2AED">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57918FB">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D48B7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被认定为逃税骗税严重失信主体名单的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243C27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52959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964DE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6"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46F0F931">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3FB65B4">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8A276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被认定为恶意逃废债务严重失信主体名单的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5C060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281DCF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13D69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5"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DFAA411">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6B5688D">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01B47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pacing w:val="-20"/>
                <w:sz w:val="28"/>
                <w:szCs w:val="28"/>
              </w:rPr>
              <w:t>被认定为恶意拖欠货款或服务费严重失信主体名单的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93371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AF0F2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D9C11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restart"/>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2FD797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严重失信主体名单信息</w:t>
            </w:r>
          </w:p>
        </w:tc>
        <w:tc>
          <w:tcPr>
            <w:tcW w:w="1417" w:type="dxa"/>
            <w:vMerge w:val="restart"/>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D8AE3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严重破坏市场公平竞争秩序和社会正常秩序</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C7E3F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被认定为恶意欠薪严重失信主体名单的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2E000E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3209A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A94C71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7DC4314D">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2ACD8DA">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0E3AE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被认定为非法集资严重失信主体名单的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C584C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01281A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98C51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61E6049">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7F08244">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5D280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被认定为合同欺诈严重失信主体名单的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8680F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B3EEFC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3194CB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761923F">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68479E0">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5DB22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被认定为组织传销严重失信主体名单的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AF113F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6B1A1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7E696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71B0F65F">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76BF703">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50C971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被认定为无证照经营严重失信主体名单的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8A19A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80FD0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F126E5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441DFB2E">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B90EFCC">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05032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被认定为制售假冒伪劣产品和故意侵犯知识产权严重失信主体名单的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9A792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157689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3510BF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36907A67">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48AE130">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82EC1F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被认定为出借和借用资质投标严重失信主体名单的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235F2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96BB5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FD4F9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5F62071C">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EC38238">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FBDED5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被认定为围标串标严重失信主体名单的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E9AB0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389AD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D379C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33209016">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46FD858">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8DCDBB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被认定为虚假广告严重失信主体名单的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62875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4D42E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3B4AD2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10F633EB">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34C56C9">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0DBF7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被认定为侵害消费者或证券期货投资者合法权益严重失信主体名单的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94401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5F3B6F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DE0BD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3434CBBF">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CC0CA9E">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CB45E1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被认定为严重破坏网络空间传播秩序严重失信主体名单的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EA712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228168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D09B4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65DA349E">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D80719E">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6A245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被认定为聚众扰乱社会秩序严重失信主体名单的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B37BD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11365F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AB8C8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0A984267">
            <w:pPr>
              <w:rPr>
                <w:rFonts w:hint="eastAsia" w:ascii="仿宋_GB2312" w:hAnsi="仿宋_GB2312" w:eastAsia="仿宋_GB2312" w:cs="仿宋_GB2312"/>
                <w:sz w:val="28"/>
                <w:szCs w:val="28"/>
              </w:rPr>
            </w:pPr>
          </w:p>
        </w:tc>
        <w:tc>
          <w:tcPr>
            <w:tcW w:w="1417" w:type="dxa"/>
            <w:vMerge w:val="restart"/>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B8CF9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拒不履行法定义务严重影响司法机关公信力</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C5C794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被认定为逃避执行司法机关、行政机关作出的判决或决定的严重失信主体名单</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51C60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2D3563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573572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4EFACD65">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ED97056">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4104C93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被认定为有履行能力但拒不履行司法机关、行政机关作出的判决或决定的严重失信主体名单</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5063E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601D4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C7F60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1C8E6255">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E1411D7">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089A58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法定代表人、实际控制人因职务行为被列为失信被执行人的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760E96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BC7119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7BB26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7A7413AB">
            <w:pPr>
              <w:rPr>
                <w:rFonts w:hint="eastAsia" w:ascii="仿宋_GB2312" w:hAnsi="仿宋_GB2312" w:eastAsia="仿宋_GB2312" w:cs="仿宋_GB2312"/>
                <w:sz w:val="28"/>
                <w:szCs w:val="28"/>
              </w:rPr>
            </w:pPr>
          </w:p>
        </w:tc>
        <w:tc>
          <w:tcPr>
            <w:tcW w:w="1417" w:type="dxa"/>
            <w:vMerge w:val="continue"/>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EBE1F90">
            <w:pPr>
              <w:rPr>
                <w:rFonts w:hint="eastAsia" w:ascii="仿宋_GB2312" w:hAnsi="仿宋_GB2312" w:eastAsia="仿宋_GB2312" w:cs="仿宋_GB2312"/>
                <w:sz w:val="28"/>
                <w:szCs w:val="28"/>
              </w:rPr>
            </w:pP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384701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市场主体被列为失信被执行人的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72714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5D045B6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48A4A5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178" w:hRule="atLeast"/>
          <w:jc w:val="center"/>
        </w:trPr>
        <w:tc>
          <w:tcPr>
            <w:tcW w:w="765" w:type="dxa"/>
            <w:vMerge w:val="continue"/>
            <w:tcBorders>
              <w:top w:val="nil"/>
              <w:left w:val="single" w:color="auto" w:sz="8" w:space="0"/>
              <w:bottom w:val="single" w:color="auto" w:sz="8" w:space="0"/>
              <w:right w:val="single" w:color="auto" w:sz="8" w:space="0"/>
            </w:tcBorders>
            <w:shd w:val="clear" w:color="auto" w:fill="FFFFFF"/>
            <w:noWrap w:val="0"/>
            <w:tcMar>
              <w:top w:w="14" w:type="dxa"/>
              <w:left w:w="14" w:type="dxa"/>
              <w:right w:w="14" w:type="dxa"/>
            </w:tcMar>
            <w:vAlign w:val="center"/>
          </w:tcPr>
          <w:p w14:paraId="25545143">
            <w:pPr>
              <w:rPr>
                <w:rFonts w:hint="eastAsia" w:ascii="仿宋_GB2312" w:hAnsi="仿宋_GB2312" w:eastAsia="仿宋_GB2312" w:cs="仿宋_GB2312"/>
                <w:sz w:val="28"/>
                <w:szCs w:val="28"/>
              </w:rPr>
            </w:pPr>
          </w:p>
        </w:tc>
        <w:tc>
          <w:tcPr>
            <w:tcW w:w="1417"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7721083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20"/>
                <w:sz w:val="28"/>
                <w:szCs w:val="28"/>
              </w:rPr>
              <w:t>其他严重失信主体名单</w:t>
            </w:r>
          </w:p>
        </w:tc>
        <w:tc>
          <w:tcPr>
            <w:tcW w:w="5954"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07156E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rPr>
              <w:t>国家和省规定的其他严重失信主体名单的</w:t>
            </w:r>
          </w:p>
        </w:tc>
        <w:tc>
          <w:tcPr>
            <w:tcW w:w="911"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6A0F03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rPr>
              <w:t>-600</w:t>
            </w:r>
          </w:p>
        </w:tc>
        <w:tc>
          <w:tcPr>
            <w:tcW w:w="989" w:type="dxa"/>
            <w:tcBorders>
              <w:top w:val="nil"/>
              <w:left w:val="nil"/>
              <w:bottom w:val="single" w:color="auto" w:sz="8" w:space="0"/>
              <w:right w:val="single" w:color="auto" w:sz="8" w:space="0"/>
            </w:tcBorders>
            <w:shd w:val="clear" w:color="auto" w:fill="FFFFFF"/>
            <w:noWrap w:val="0"/>
            <w:tcMar>
              <w:top w:w="14" w:type="dxa"/>
              <w:left w:w="14" w:type="dxa"/>
              <w:right w:w="14" w:type="dxa"/>
            </w:tcMar>
            <w:vAlign w:val="center"/>
          </w:tcPr>
          <w:p w14:paraId="166EED2E">
            <w:pPr>
              <w:keepNext w:val="0"/>
              <w:keepLines w:val="0"/>
              <w:widowControl/>
              <w:suppressLineNumbers w:val="0"/>
              <w:spacing w:before="0" w:beforeAutospacing="0" w:after="0" w:afterAutospacing="0"/>
              <w:ind w:left="0" w:right="0" w:firstLine="0"/>
              <w:jc w:val="left"/>
              <w:rPr>
                <w:rFonts w:hint="eastAsia" w:ascii="仿宋_GB2312" w:hAnsi="仿宋_GB2312" w:eastAsia="仿宋_GB2312" w:cs="仿宋_GB2312"/>
                <w:i w:val="0"/>
                <w:iCs w:val="0"/>
                <w:caps w:val="0"/>
                <w:color w:val="000000"/>
                <w:spacing w:val="0"/>
                <w:sz w:val="28"/>
                <w:szCs w:val="28"/>
              </w:rPr>
            </w:pPr>
          </w:p>
        </w:tc>
      </w:tr>
    </w:tbl>
    <w:p w14:paraId="4B9A29CC">
      <w:pPr>
        <w:pStyle w:val="2"/>
      </w:pPr>
    </w:p>
    <w:p w14:paraId="027FD06C"/>
    <w:sectPr>
      <w:headerReference r:id="rId3" w:type="default"/>
      <w:footerReference r:id="rId4"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770FD">
    <w:pPr>
      <w:pStyle w:val="3"/>
      <w:ind w:right="97" w:rightChars="46"/>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D6B49D">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6ED6B49D">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E9122">
    <w:pPr>
      <w:pStyle w:val="4"/>
      <w:pBdr>
        <w:bottom w:val="none" w:color="auto" w:sz="0" w:space="1"/>
      </w:pBdr>
      <w:tabs>
        <w:tab w:val="clear" w:pos="4153"/>
        <w:tab w:val="clear" w:pos="8306"/>
      </w:tabs>
      <w:jc w:val="distribute"/>
      <w:rPr>
        <w:rFonts w:ascii="黑体" w:hAnsi="黑体" w:eastAsia="黑体" w:cs="黑体"/>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hNzkzMDIwN2U4MmM0MjI0MTE2ZjczMmI3ZDgzMWUifQ=="/>
  </w:docVars>
  <w:rsids>
    <w:rsidRoot w:val="221178F6"/>
    <w:rsid w:val="22117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b/>
      <w:bCs/>
      <w:sz w:val="24"/>
      <w:szCs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kern w:val="0"/>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8">
    <w:name w:val="Strong"/>
    <w:qFormat/>
    <w:uiPriority w:val="22"/>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2024-10-25T08:17:00Z</dcterms:created>
  <dc:creator>李哈哈</dc:creator>
  <cp:lastModifiedBy>李哈哈</cp:lastModifiedBy>
  <dcterms:modified xsi:type="dcterms:W3CDTF">2024-10-25T08:17:42Z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CBA9E172D8394241945E8DF0FF20B935_11</vt:lpwstr>
  </property>
</Properties>
</file>