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9C2E3">
      <w:pPr>
        <w:pageBreakBefore w:val="0"/>
        <w:kinsoku/>
        <w:wordWrap/>
        <w:overflowPunct/>
        <w:topLinePunct w:val="0"/>
        <w:autoSpaceDE/>
        <w:autoSpaceDN/>
        <w:bidi w:val="0"/>
        <w:adjustRightInd/>
        <w:snapToGrid w:val="0"/>
        <w:spacing w:line="520" w:lineRule="exact"/>
        <w:contextualSpacing/>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附件</w:t>
      </w:r>
      <w:r>
        <w:rPr>
          <w:rFonts w:hint="eastAsia" w:ascii="仿宋_GB2312" w:hAnsi="仿宋_GB2312" w:eastAsia="仿宋_GB2312" w:cs="仿宋_GB2312"/>
          <w:b/>
          <w:bCs/>
          <w:sz w:val="32"/>
          <w:szCs w:val="32"/>
          <w:lang w:val="en-US" w:eastAsia="zh-CN"/>
        </w:rPr>
        <w:t>1</w:t>
      </w:r>
    </w:p>
    <w:p w14:paraId="595E28B5">
      <w:pPr>
        <w:pageBreakBefore w:val="0"/>
        <w:kinsoku/>
        <w:wordWrap/>
        <w:overflowPunct/>
        <w:topLinePunct w:val="0"/>
        <w:autoSpaceDE/>
        <w:autoSpaceDN/>
        <w:bidi w:val="0"/>
        <w:adjustRightInd/>
        <w:snapToGrid w:val="0"/>
        <w:spacing w:line="520" w:lineRule="exact"/>
        <w:ind w:left="420" w:leftChars="200"/>
        <w:contextualSpacing/>
        <w:jc w:val="center"/>
        <w:textAlignment w:val="auto"/>
        <w:rPr>
          <w:rFonts w:ascii="Times New Roman" w:hAnsi="Times New Roman" w:eastAsia="方正小标宋简体"/>
          <w:sz w:val="44"/>
          <w:szCs w:val="44"/>
        </w:rPr>
      </w:pPr>
    </w:p>
    <w:p w14:paraId="67E0B900">
      <w:pPr>
        <w:pageBreakBefore w:val="0"/>
        <w:kinsoku/>
        <w:wordWrap/>
        <w:overflowPunct/>
        <w:topLinePunct w:val="0"/>
        <w:autoSpaceDE/>
        <w:autoSpaceDN/>
        <w:bidi w:val="0"/>
        <w:adjustRightInd/>
        <w:snapToGrid w:val="0"/>
        <w:spacing w:line="520" w:lineRule="exact"/>
        <w:contextualSpacing/>
        <w:jc w:val="center"/>
        <w:textAlignment w:val="auto"/>
        <w:rPr>
          <w:sz w:val="36"/>
          <w:szCs w:val="36"/>
        </w:rPr>
      </w:pPr>
      <w:bookmarkStart w:id="2" w:name="_GoBack"/>
      <w:bookmarkStart w:id="0" w:name="_Hlk109305929"/>
      <w:r>
        <w:rPr>
          <w:rFonts w:hint="eastAsia" w:ascii="Times New Roman" w:hAnsi="Times New Roman" w:eastAsia="方正小标宋简体"/>
          <w:sz w:val="36"/>
          <w:szCs w:val="36"/>
          <w:lang w:eastAsia="zh-CN"/>
        </w:rPr>
        <w:t>随州</w:t>
      </w:r>
      <w:r>
        <w:rPr>
          <w:rFonts w:ascii="Times New Roman" w:hAnsi="Times New Roman" w:eastAsia="方正小标宋简体"/>
          <w:sz w:val="36"/>
          <w:szCs w:val="36"/>
        </w:rPr>
        <w:t>市</w:t>
      </w:r>
      <w:r>
        <w:rPr>
          <w:rFonts w:hint="eastAsia" w:ascii="Times New Roman" w:hAnsi="Times New Roman" w:eastAsia="方正小标宋简体"/>
          <w:sz w:val="36"/>
          <w:szCs w:val="36"/>
          <w:lang w:eastAsia="zh-CN"/>
        </w:rPr>
        <w:t>曾都</w:t>
      </w:r>
      <w:r>
        <w:rPr>
          <w:rFonts w:ascii="Times New Roman" w:hAnsi="Times New Roman" w:eastAsia="方正小标宋简体"/>
          <w:sz w:val="36"/>
          <w:szCs w:val="36"/>
        </w:rPr>
        <w:t>区市场主体信用评价评分细则</w:t>
      </w:r>
      <w:bookmarkEnd w:id="0"/>
    </w:p>
    <w:bookmarkEnd w:id="2"/>
    <w:p w14:paraId="4850DAA7">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制定目的和依据】为贯彻落实关于加快推进社会信用体系建设，构建完善以信用为基础的新型监管机制的有关部署和要求，开展市场主体信用评价，推动建立以公共信用综合评价结果、行业信用评价结果相互促进的信用分级分类监管机制，依据</w:t>
      </w:r>
      <w:bookmarkStart w:id="1" w:name="_Hlk109305947"/>
      <w:r>
        <w:rPr>
          <w:rFonts w:ascii="Times New Roman" w:hAnsi="Times New Roman" w:eastAsia="仿宋_GB2312"/>
          <w:sz w:val="32"/>
          <w:szCs w:val="32"/>
        </w:rPr>
        <w:t>《</w:t>
      </w:r>
      <w:r>
        <w:rPr>
          <w:rFonts w:hint="eastAsia" w:ascii="Times New Roman" w:hAnsi="Times New Roman" w:eastAsia="仿宋_GB2312"/>
          <w:sz w:val="32"/>
          <w:szCs w:val="32"/>
          <w:lang w:eastAsia="zh-CN"/>
        </w:rPr>
        <w:t>随州市曾都区</w:t>
      </w:r>
      <w:r>
        <w:rPr>
          <w:rFonts w:ascii="Times New Roman" w:hAnsi="Times New Roman" w:eastAsia="仿宋_GB2312"/>
          <w:sz w:val="32"/>
          <w:szCs w:val="32"/>
        </w:rPr>
        <w:t>市场主体信用评价管理办法</w:t>
      </w:r>
      <w:r>
        <w:rPr>
          <w:rFonts w:hint="eastAsia" w:ascii="Times New Roman" w:hAnsi="Times New Roman" w:eastAsia="仿宋_GB2312"/>
          <w:sz w:val="32"/>
          <w:szCs w:val="32"/>
        </w:rPr>
        <w:t>（试行）</w:t>
      </w:r>
      <w:r>
        <w:rPr>
          <w:rFonts w:ascii="Times New Roman" w:hAnsi="Times New Roman" w:eastAsia="仿宋_GB2312"/>
          <w:sz w:val="32"/>
          <w:szCs w:val="32"/>
        </w:rPr>
        <w:t>》</w:t>
      </w:r>
      <w:bookmarkEnd w:id="1"/>
      <w:r>
        <w:rPr>
          <w:rFonts w:ascii="Times New Roman" w:hAnsi="Times New Roman" w:eastAsia="仿宋_GB2312"/>
          <w:sz w:val="32"/>
          <w:szCs w:val="32"/>
        </w:rPr>
        <w:t>，制定本评分细则。</w:t>
      </w:r>
    </w:p>
    <w:p w14:paraId="315FCD01">
      <w:pPr>
        <w:pageBreakBefore w:val="0"/>
        <w:widowControl/>
        <w:numPr>
          <w:ilvl w:val="0"/>
          <w:numId w:val="1"/>
        </w:numPr>
        <w:kinsoku/>
        <w:wordWrap/>
        <w:overflowPunct/>
        <w:topLinePunct w:val="0"/>
        <w:autoSpaceDE/>
        <w:autoSpaceDN/>
        <w:bidi w:val="0"/>
        <w:adjustRightInd/>
        <w:snapToGrid w:val="0"/>
        <w:spacing w:line="520" w:lineRule="exact"/>
        <w:ind w:firstLine="640"/>
        <w:contextualSpacing/>
        <w:textAlignment w:val="auto"/>
        <w:rPr>
          <w:rFonts w:ascii="Times New Roman" w:hAnsi="Times New Roman" w:eastAsia="仿宋_GB2312"/>
          <w:sz w:val="32"/>
          <w:szCs w:val="32"/>
        </w:rPr>
      </w:pPr>
      <w:r>
        <w:rPr>
          <w:rFonts w:ascii="Times New Roman" w:hAnsi="Times New Roman" w:eastAsia="仿宋_GB2312"/>
          <w:sz w:val="32"/>
          <w:szCs w:val="32"/>
        </w:rPr>
        <w:t>【评价原则】市场主体信用评价指标体系设计遵循以下原则：</w:t>
      </w:r>
    </w:p>
    <w:p w14:paraId="0A6324A5">
      <w:pPr>
        <w:pageBreakBefore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sz w:val="32"/>
          <w:szCs w:val="32"/>
        </w:rPr>
      </w:pPr>
      <w:r>
        <w:rPr>
          <w:rFonts w:ascii="Times New Roman" w:hAnsi="Times New Roman" w:eastAsia="楷体_GB2312"/>
          <w:sz w:val="32"/>
          <w:szCs w:val="32"/>
        </w:rPr>
        <w:t>（一）依法依规。</w:t>
      </w:r>
      <w:r>
        <w:rPr>
          <w:rFonts w:ascii="Times New Roman" w:hAnsi="Times New Roman" w:eastAsia="仿宋_GB2312"/>
          <w:sz w:val="32"/>
          <w:szCs w:val="32"/>
        </w:rPr>
        <w:t>开展市场主体信用评价及相关评价结果的应用应符合法律法规相关要求，防止不当使用。</w:t>
      </w:r>
    </w:p>
    <w:p w14:paraId="56C3B41D">
      <w:pPr>
        <w:pageBreakBefore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sz w:val="32"/>
          <w:szCs w:val="32"/>
        </w:rPr>
      </w:pPr>
      <w:r>
        <w:rPr>
          <w:rFonts w:ascii="Times New Roman" w:hAnsi="Times New Roman" w:eastAsia="楷体_GB2312"/>
          <w:sz w:val="32"/>
          <w:szCs w:val="32"/>
        </w:rPr>
        <w:t>（二）全面覆盖。</w:t>
      </w:r>
      <w:r>
        <w:rPr>
          <w:rFonts w:ascii="Times New Roman" w:hAnsi="Times New Roman" w:eastAsia="仿宋_GB2312"/>
          <w:sz w:val="32"/>
          <w:szCs w:val="32"/>
        </w:rPr>
        <w:t>市场主体信用评价应当全面覆盖在</w:t>
      </w:r>
      <w:r>
        <w:rPr>
          <w:rFonts w:hint="eastAsia" w:ascii="Times New Roman" w:hAnsi="Times New Roman" w:eastAsia="仿宋_GB2312"/>
          <w:sz w:val="32"/>
          <w:szCs w:val="32"/>
          <w:lang w:eastAsia="zh-CN"/>
        </w:rPr>
        <w:t>曾都区</w:t>
      </w:r>
      <w:r>
        <w:rPr>
          <w:rFonts w:ascii="Times New Roman" w:hAnsi="Times New Roman" w:eastAsia="仿宋_GB2312"/>
          <w:sz w:val="32"/>
          <w:szCs w:val="32"/>
        </w:rPr>
        <w:t>内依法登记注册的存续企业和个体工商户（除登记注册状态为注销、吊销、迁出、撤销的市场主体外）。</w:t>
      </w:r>
    </w:p>
    <w:p w14:paraId="3FA03080">
      <w:pPr>
        <w:pageBreakBefore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sz w:val="32"/>
          <w:szCs w:val="32"/>
        </w:rPr>
      </w:pPr>
      <w:r>
        <w:rPr>
          <w:rFonts w:ascii="Times New Roman" w:hAnsi="Times New Roman" w:eastAsia="楷体_GB2312"/>
          <w:sz w:val="32"/>
          <w:szCs w:val="32"/>
        </w:rPr>
        <w:t>（三）客观公正。</w:t>
      </w:r>
      <w:r>
        <w:rPr>
          <w:rFonts w:ascii="Times New Roman" w:hAnsi="Times New Roman" w:eastAsia="仿宋_GB2312"/>
          <w:sz w:val="32"/>
          <w:szCs w:val="32"/>
        </w:rPr>
        <w:t>从多个维度设计具有代表性、对市场主体</w:t>
      </w:r>
    </w:p>
    <w:p w14:paraId="74DFE771">
      <w:pPr>
        <w:pageBreakBefore w:val="0"/>
        <w:kinsoku/>
        <w:wordWrap/>
        <w:overflowPunct/>
        <w:topLinePunct w:val="0"/>
        <w:autoSpaceDE/>
        <w:autoSpaceDN/>
        <w:bidi w:val="0"/>
        <w:adjustRightInd/>
        <w:snapToGrid w:val="0"/>
        <w:spacing w:line="520" w:lineRule="exact"/>
        <w:textAlignment w:val="auto"/>
        <w:rPr>
          <w:rFonts w:ascii="Times New Roman" w:hAnsi="Times New Roman" w:eastAsia="仿宋_GB2312"/>
          <w:sz w:val="32"/>
          <w:szCs w:val="32"/>
        </w:rPr>
      </w:pPr>
      <w:r>
        <w:rPr>
          <w:rFonts w:ascii="Times New Roman" w:hAnsi="Times New Roman" w:eastAsia="仿宋_GB2312"/>
          <w:sz w:val="32"/>
          <w:szCs w:val="32"/>
        </w:rPr>
        <w:t>信用水平有影响的指标，科学合理设定分值权重，综合反映市场主体信用水平。</w:t>
      </w:r>
    </w:p>
    <w:p w14:paraId="009A4442">
      <w:pPr>
        <w:pageBreakBefore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sz w:val="32"/>
          <w:szCs w:val="32"/>
        </w:rPr>
      </w:pPr>
      <w:r>
        <w:rPr>
          <w:rFonts w:ascii="Times New Roman" w:hAnsi="Times New Roman" w:eastAsia="楷体_GB2312"/>
          <w:sz w:val="32"/>
          <w:szCs w:val="32"/>
        </w:rPr>
        <w:t>（四）可获得性。</w:t>
      </w:r>
      <w:r>
        <w:rPr>
          <w:rFonts w:ascii="Times New Roman" w:hAnsi="Times New Roman" w:eastAsia="仿宋_GB2312"/>
          <w:sz w:val="32"/>
          <w:szCs w:val="32"/>
        </w:rPr>
        <w:t>在评价指标设计时，需要充分考虑数据产生的连续性和可获取性。</w:t>
      </w:r>
    </w:p>
    <w:p w14:paraId="24734474">
      <w:pPr>
        <w:pageBreakBefore w:val="0"/>
        <w:kinsoku/>
        <w:wordWrap/>
        <w:overflowPunct/>
        <w:topLinePunct w:val="0"/>
        <w:autoSpaceDE/>
        <w:autoSpaceDN/>
        <w:bidi w:val="0"/>
        <w:adjustRightInd/>
        <w:snapToGrid w:val="0"/>
        <w:spacing w:line="520" w:lineRule="exact"/>
        <w:textAlignment w:val="auto"/>
        <w:rPr>
          <w:rFonts w:ascii="Times New Roman" w:hAnsi="Times New Roman" w:eastAsia="仿宋_GB2312"/>
          <w:sz w:val="32"/>
          <w:szCs w:val="32"/>
        </w:rPr>
        <w:sectPr>
          <w:headerReference r:id="rId3" w:type="default"/>
          <w:footerReference r:id="rId4" w:type="default"/>
          <w:pgSz w:w="11906" w:h="16838"/>
          <w:pgMar w:top="2098" w:right="1474" w:bottom="1984" w:left="1587" w:header="851" w:footer="992" w:gutter="0"/>
          <w:pgNumType w:fmt="numberInDash"/>
          <w:cols w:space="720" w:num="1"/>
          <w:docGrid w:type="lines" w:linePitch="312" w:charSpace="0"/>
        </w:sectPr>
      </w:pPr>
    </w:p>
    <w:p w14:paraId="0B1A7A7A">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【评价方法】根据市场主体公共信用</w:t>
      </w:r>
      <w:r>
        <w:rPr>
          <w:rFonts w:hint="eastAsia" w:ascii="Times New Roman" w:hAnsi="Times New Roman" w:eastAsia="仿宋_GB2312"/>
          <w:sz w:val="32"/>
          <w:szCs w:val="32"/>
        </w:rPr>
        <w:t>综合</w:t>
      </w:r>
      <w:r>
        <w:rPr>
          <w:rFonts w:ascii="Times New Roman" w:hAnsi="Times New Roman" w:eastAsia="仿宋_GB2312"/>
          <w:sz w:val="32"/>
          <w:szCs w:val="32"/>
        </w:rPr>
        <w:t>评价指标体系，</w:t>
      </w:r>
      <w:r>
        <w:rPr>
          <w:rFonts w:hint="eastAsia" w:ascii="Times New Roman" w:hAnsi="Times New Roman" w:eastAsia="仿宋_GB2312"/>
          <w:sz w:val="32"/>
          <w:szCs w:val="32"/>
        </w:rPr>
        <w:t>依托信用信息一体化平台</w:t>
      </w:r>
      <w:r>
        <w:rPr>
          <w:rFonts w:ascii="Times New Roman" w:hAnsi="Times New Roman" w:eastAsia="仿宋_GB2312"/>
          <w:sz w:val="32"/>
          <w:szCs w:val="32"/>
        </w:rPr>
        <w:t>建立</w:t>
      </w:r>
      <w:r>
        <w:rPr>
          <w:rFonts w:hint="eastAsia" w:ascii="Times New Roman" w:hAnsi="Times New Roman" w:eastAsia="仿宋_GB2312"/>
          <w:sz w:val="32"/>
          <w:szCs w:val="32"/>
        </w:rPr>
        <w:t>评分规则</w:t>
      </w:r>
      <w:r>
        <w:rPr>
          <w:rFonts w:ascii="Times New Roman" w:hAnsi="Times New Roman" w:eastAsia="仿宋_GB2312"/>
          <w:sz w:val="32"/>
          <w:szCs w:val="32"/>
        </w:rPr>
        <w:t>，</w:t>
      </w:r>
      <w:r>
        <w:rPr>
          <w:rFonts w:hint="eastAsia" w:ascii="Times New Roman" w:hAnsi="Times New Roman" w:eastAsia="仿宋_GB2312"/>
          <w:sz w:val="32"/>
          <w:szCs w:val="32"/>
        </w:rPr>
        <w:t>基于平台归集的数据，</w:t>
      </w:r>
      <w:r>
        <w:rPr>
          <w:rFonts w:ascii="Times New Roman" w:hAnsi="Times New Roman" w:eastAsia="仿宋_GB2312"/>
          <w:sz w:val="32"/>
          <w:szCs w:val="32"/>
        </w:rPr>
        <w:t>运用模型算法自动计算</w:t>
      </w:r>
      <w:r>
        <w:rPr>
          <w:rFonts w:hint="eastAsia" w:ascii="Times New Roman" w:hAnsi="Times New Roman" w:eastAsia="仿宋_GB2312"/>
          <w:sz w:val="32"/>
          <w:szCs w:val="32"/>
        </w:rPr>
        <w:t>，完成市场主体公共信用综合评价</w:t>
      </w:r>
      <w:r>
        <w:rPr>
          <w:rFonts w:ascii="Times New Roman" w:hAnsi="Times New Roman" w:eastAsia="仿宋_GB2312"/>
          <w:sz w:val="32"/>
          <w:szCs w:val="32"/>
        </w:rPr>
        <w:t>。</w:t>
      </w:r>
    </w:p>
    <w:p w14:paraId="3399335D">
      <w:pPr>
        <w:pStyle w:val="3"/>
        <w:pageBreakBefore w:val="0"/>
        <w:kinsoku/>
        <w:wordWrap/>
        <w:overflowPunct/>
        <w:topLinePunct w:val="0"/>
        <w:autoSpaceDE/>
        <w:autoSpaceDN/>
        <w:bidi w:val="0"/>
        <w:adjustRightInd/>
        <w:snapToGrid w:val="0"/>
        <w:spacing w:line="52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第一步，判断评价指标的基本特征。根据指标数据对输出结果的影响，将评价指标的基本特征分为正向相关和负向相关两类。</w:t>
      </w:r>
    </w:p>
    <w:p w14:paraId="69806ABB">
      <w:pPr>
        <w:pStyle w:val="3"/>
        <w:pageBreakBefore w:val="0"/>
        <w:kinsoku/>
        <w:wordWrap/>
        <w:overflowPunct/>
        <w:topLinePunct w:val="0"/>
        <w:autoSpaceDE/>
        <w:autoSpaceDN/>
        <w:bidi w:val="0"/>
        <w:adjustRightInd/>
        <w:snapToGrid w:val="0"/>
        <w:spacing w:line="52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第二步，确定指标权重。综合考察现有的权重计算方法和评价指标体系特点，运用大数据技术、德尔菲法和层次分析法综合分析指标权重，通过AHP分析软件进行矩阵运算，确定指标权重系数。</w:t>
      </w:r>
    </w:p>
    <w:p w14:paraId="742AC3A7">
      <w:pPr>
        <w:pStyle w:val="3"/>
        <w:pageBreakBefore w:val="0"/>
        <w:kinsoku/>
        <w:wordWrap/>
        <w:overflowPunct/>
        <w:topLinePunct w:val="0"/>
        <w:autoSpaceDE/>
        <w:autoSpaceDN/>
        <w:bidi w:val="0"/>
        <w:adjustRightInd/>
        <w:snapToGrid w:val="0"/>
        <w:spacing w:line="520" w:lineRule="exact"/>
        <w:ind w:firstLine="640"/>
        <w:textAlignment w:val="auto"/>
        <w:rPr>
          <w:rFonts w:ascii="Times New Roman" w:hAnsi="Times New Roman" w:eastAsia="仿宋_GB2312"/>
          <w:sz w:val="32"/>
          <w:szCs w:val="32"/>
        </w:rPr>
      </w:pPr>
      <w:r>
        <w:rPr>
          <w:rFonts w:ascii="Times New Roman" w:hAnsi="Times New Roman" w:eastAsia="仿宋_GB2312"/>
          <w:sz w:val="32"/>
          <w:szCs w:val="32"/>
        </w:rPr>
        <w:t>第三步，计算指标得分值。根据指标基本特征和评价数据的分布情况以及对市场主体信用状况的影响程度，对数据进行处理，计算出指标得分值X</w:t>
      </w:r>
      <w:r>
        <w:rPr>
          <w:rFonts w:ascii="Times New Roman" w:hAnsi="Times New Roman" w:eastAsia="仿宋_GB2312"/>
          <w:sz w:val="32"/>
          <w:szCs w:val="32"/>
          <w:vertAlign w:val="subscript"/>
        </w:rPr>
        <w:t>n</w:t>
      </w:r>
      <w:r>
        <w:rPr>
          <w:rFonts w:ascii="Times New Roman" w:hAnsi="Times New Roman" w:eastAsia="仿宋_GB2312"/>
          <w:sz w:val="32"/>
          <w:szCs w:val="32"/>
        </w:rPr>
        <w:t>。</w:t>
      </w:r>
    </w:p>
    <w:p w14:paraId="1310A4D4">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【评价方式】市场主体信用评价依托信用信息一体化平台完成。</w:t>
      </w:r>
    </w:p>
    <w:p w14:paraId="344759FB">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【评价等级划分】市场主体信用评价结果信息包括信用评分和信用等级。市场主体信用评价采用千分制，得分区间分布在0-1000分；信用等级划分为</w:t>
      </w:r>
      <w:r>
        <w:rPr>
          <w:rFonts w:hint="eastAsia" w:ascii="Times New Roman" w:hAnsi="Times New Roman" w:eastAsia="仿宋_GB2312"/>
          <w:sz w:val="32"/>
          <w:szCs w:val="32"/>
          <w:lang w:val="en-US" w:eastAsia="zh-CN"/>
        </w:rPr>
        <w:t>AA、</w:t>
      </w:r>
      <w:r>
        <w:rPr>
          <w:rFonts w:ascii="Times New Roman" w:hAnsi="Times New Roman" w:eastAsia="仿宋_GB2312"/>
          <w:sz w:val="32"/>
          <w:szCs w:val="32"/>
        </w:rPr>
        <w:t>A、B、C、D</w:t>
      </w:r>
      <w:r>
        <w:rPr>
          <w:rFonts w:hint="eastAsia" w:ascii="Times New Roman" w:hAnsi="Times New Roman" w:eastAsia="仿宋_GB2312"/>
          <w:sz w:val="32"/>
          <w:szCs w:val="32"/>
          <w:lang w:eastAsia="zh-CN"/>
        </w:rPr>
        <w:t>五</w:t>
      </w:r>
      <w:r>
        <w:rPr>
          <w:rFonts w:ascii="Times New Roman" w:hAnsi="Times New Roman" w:eastAsia="仿宋_GB2312"/>
          <w:sz w:val="32"/>
          <w:szCs w:val="32"/>
        </w:rPr>
        <w:t>个等级。具体等级划分及释义如下：</w:t>
      </w:r>
    </w:p>
    <w:tbl>
      <w:tblPr>
        <w:tblStyle w:val="7"/>
        <w:tblW w:w="0" w:type="auto"/>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937"/>
        <w:gridCol w:w="2242"/>
        <w:gridCol w:w="4116"/>
        <w:gridCol w:w="938"/>
      </w:tblGrid>
      <w:tr w14:paraId="2ACB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5F785B16">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序号</w:t>
            </w:r>
          </w:p>
        </w:tc>
        <w:tc>
          <w:tcPr>
            <w:tcW w:w="937" w:type="dxa"/>
            <w:noWrap w:val="0"/>
            <w:vAlign w:val="center"/>
          </w:tcPr>
          <w:p w14:paraId="5D032317">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等级</w:t>
            </w:r>
          </w:p>
        </w:tc>
        <w:tc>
          <w:tcPr>
            <w:tcW w:w="2242" w:type="dxa"/>
            <w:noWrap w:val="0"/>
            <w:vAlign w:val="center"/>
          </w:tcPr>
          <w:p w14:paraId="657C3C1A">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得分</w:t>
            </w:r>
          </w:p>
        </w:tc>
        <w:tc>
          <w:tcPr>
            <w:tcW w:w="4116" w:type="dxa"/>
            <w:noWrap w:val="0"/>
            <w:vAlign w:val="center"/>
          </w:tcPr>
          <w:p w14:paraId="7D0BBC6D">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释义</w:t>
            </w:r>
          </w:p>
        </w:tc>
        <w:tc>
          <w:tcPr>
            <w:tcW w:w="938" w:type="dxa"/>
            <w:noWrap w:val="0"/>
            <w:vAlign w:val="center"/>
          </w:tcPr>
          <w:p w14:paraId="4BDCE3B2">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分类</w:t>
            </w:r>
          </w:p>
        </w:tc>
      </w:tr>
      <w:tr w14:paraId="41C1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61FDEAF9">
            <w:pPr>
              <w:pageBreakBefore w:val="0"/>
              <w:widowControl/>
              <w:kinsoku/>
              <w:wordWrap/>
              <w:overflowPunct/>
              <w:topLinePunct w:val="0"/>
              <w:autoSpaceDE/>
              <w:autoSpaceDN/>
              <w:bidi w:val="0"/>
              <w:adjustRightInd/>
              <w:snapToGrid w:val="0"/>
              <w:spacing w:line="520" w:lineRule="exact"/>
              <w:contextualSpacing/>
              <w:jc w:val="center"/>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w:t>
            </w:r>
          </w:p>
        </w:tc>
        <w:tc>
          <w:tcPr>
            <w:tcW w:w="937" w:type="dxa"/>
            <w:noWrap w:val="0"/>
            <w:vAlign w:val="center"/>
          </w:tcPr>
          <w:p w14:paraId="4A3541CE">
            <w:pPr>
              <w:pageBreakBefore w:val="0"/>
              <w:widowControl/>
              <w:kinsoku/>
              <w:wordWrap/>
              <w:overflowPunct/>
              <w:topLinePunct w:val="0"/>
              <w:autoSpaceDE/>
              <w:autoSpaceDN/>
              <w:bidi w:val="0"/>
              <w:adjustRightInd/>
              <w:snapToGrid w:val="0"/>
              <w:spacing w:line="520" w:lineRule="exact"/>
              <w:contextualSpacing/>
              <w:jc w:val="center"/>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AA</w:t>
            </w:r>
          </w:p>
        </w:tc>
        <w:tc>
          <w:tcPr>
            <w:tcW w:w="2242" w:type="dxa"/>
            <w:noWrap w:val="0"/>
            <w:vAlign w:val="center"/>
          </w:tcPr>
          <w:p w14:paraId="45AE414F">
            <w:pPr>
              <w:pageBreakBefore w:val="0"/>
              <w:widowControl/>
              <w:kinsoku/>
              <w:wordWrap/>
              <w:overflowPunct/>
              <w:topLinePunct w:val="0"/>
              <w:autoSpaceDE/>
              <w:autoSpaceDN/>
              <w:bidi w:val="0"/>
              <w:adjustRightInd/>
              <w:snapToGrid w:val="0"/>
              <w:spacing w:line="520" w:lineRule="exact"/>
              <w:contextualSpacing/>
              <w:jc w:val="center"/>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1000分以上</w:t>
            </w:r>
          </w:p>
        </w:tc>
        <w:tc>
          <w:tcPr>
            <w:tcW w:w="4116" w:type="dxa"/>
            <w:noWrap w:val="0"/>
            <w:vAlign w:val="center"/>
          </w:tcPr>
          <w:p w14:paraId="6C0C5846">
            <w:pPr>
              <w:pageBreakBefore w:val="0"/>
              <w:widowControl/>
              <w:kinsoku/>
              <w:wordWrap/>
              <w:overflowPunct/>
              <w:topLinePunct w:val="0"/>
              <w:autoSpaceDE/>
              <w:autoSpaceDN/>
              <w:bidi w:val="0"/>
              <w:adjustRightInd/>
              <w:snapToGrid w:val="0"/>
              <w:spacing w:line="520" w:lineRule="exact"/>
              <w:contextualSpacing/>
              <w:jc w:val="left"/>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信用状况良好，有加分信息属于正向激励对象</w:t>
            </w:r>
          </w:p>
        </w:tc>
        <w:tc>
          <w:tcPr>
            <w:tcW w:w="938" w:type="dxa"/>
            <w:noWrap w:val="0"/>
            <w:vAlign w:val="center"/>
          </w:tcPr>
          <w:p w14:paraId="0C5F4C30">
            <w:pPr>
              <w:pageBreakBefore w:val="0"/>
              <w:widowControl/>
              <w:kinsoku/>
              <w:wordWrap/>
              <w:overflowPunct/>
              <w:topLinePunct w:val="0"/>
              <w:autoSpaceDE/>
              <w:autoSpaceDN/>
              <w:bidi w:val="0"/>
              <w:adjustRightInd/>
              <w:snapToGrid w:val="0"/>
              <w:spacing w:line="520" w:lineRule="exact"/>
              <w:contextualSpacing/>
              <w:jc w:val="center"/>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蓝色</w:t>
            </w:r>
          </w:p>
        </w:tc>
      </w:tr>
      <w:tr w14:paraId="4E60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3213FC50">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1</w:t>
            </w:r>
          </w:p>
        </w:tc>
        <w:tc>
          <w:tcPr>
            <w:tcW w:w="937" w:type="dxa"/>
            <w:noWrap w:val="0"/>
            <w:vAlign w:val="center"/>
          </w:tcPr>
          <w:p w14:paraId="66A4368D">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A</w:t>
            </w:r>
          </w:p>
        </w:tc>
        <w:tc>
          <w:tcPr>
            <w:tcW w:w="2242" w:type="dxa"/>
            <w:noWrap w:val="0"/>
            <w:vAlign w:val="center"/>
          </w:tcPr>
          <w:p w14:paraId="65F82C19">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950</w:t>
            </w:r>
            <w:r>
              <w:rPr>
                <w:rFonts w:ascii="Times New Roman" w:hAnsi="Times New Roman" w:eastAsia="仿宋_GB2312"/>
                <w:sz w:val="32"/>
                <w:szCs w:val="32"/>
              </w:rPr>
              <w:t>至1000分</w:t>
            </w:r>
          </w:p>
        </w:tc>
        <w:tc>
          <w:tcPr>
            <w:tcW w:w="4116" w:type="dxa"/>
            <w:noWrap w:val="0"/>
            <w:vAlign w:val="center"/>
          </w:tcPr>
          <w:p w14:paraId="01E15F70">
            <w:pPr>
              <w:pageBreakBefore w:val="0"/>
              <w:widowControl/>
              <w:kinsoku/>
              <w:wordWrap/>
              <w:overflowPunct/>
              <w:topLinePunct w:val="0"/>
              <w:autoSpaceDE/>
              <w:autoSpaceDN/>
              <w:bidi w:val="0"/>
              <w:adjustRightInd/>
              <w:snapToGrid w:val="0"/>
              <w:spacing w:line="520" w:lineRule="exact"/>
              <w:contextualSpacing/>
              <w:jc w:val="left"/>
              <w:textAlignment w:val="auto"/>
              <w:rPr>
                <w:rFonts w:ascii="Times New Roman" w:hAnsi="Times New Roman" w:eastAsia="仿宋_GB2312"/>
                <w:sz w:val="32"/>
                <w:szCs w:val="32"/>
              </w:rPr>
            </w:pPr>
            <w:r>
              <w:rPr>
                <w:rFonts w:ascii="Times New Roman" w:hAnsi="Times New Roman" w:eastAsia="仿宋_GB2312"/>
                <w:sz w:val="32"/>
                <w:szCs w:val="32"/>
              </w:rPr>
              <w:t>信用状况良好，一般</w:t>
            </w:r>
            <w:r>
              <w:rPr>
                <w:rFonts w:hint="eastAsia" w:ascii="Times New Roman" w:hAnsi="Times New Roman" w:eastAsia="仿宋_GB2312"/>
                <w:sz w:val="32"/>
                <w:szCs w:val="32"/>
                <w:lang w:eastAsia="zh-CN"/>
              </w:rPr>
              <w:t>为</w:t>
            </w:r>
            <w:r>
              <w:rPr>
                <w:rFonts w:ascii="Times New Roman" w:hAnsi="Times New Roman" w:eastAsia="仿宋_GB2312"/>
                <w:sz w:val="32"/>
                <w:szCs w:val="32"/>
              </w:rPr>
              <w:t>无失信信息，有良好信息</w:t>
            </w:r>
          </w:p>
        </w:tc>
        <w:tc>
          <w:tcPr>
            <w:tcW w:w="938" w:type="dxa"/>
            <w:noWrap w:val="0"/>
            <w:vAlign w:val="center"/>
          </w:tcPr>
          <w:p w14:paraId="44FE77A6">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绿色</w:t>
            </w:r>
          </w:p>
        </w:tc>
      </w:tr>
      <w:tr w14:paraId="4132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3A47EBDC">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2</w:t>
            </w:r>
          </w:p>
        </w:tc>
        <w:tc>
          <w:tcPr>
            <w:tcW w:w="937" w:type="dxa"/>
            <w:noWrap w:val="0"/>
            <w:vAlign w:val="center"/>
          </w:tcPr>
          <w:p w14:paraId="01502462">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B</w:t>
            </w:r>
          </w:p>
        </w:tc>
        <w:tc>
          <w:tcPr>
            <w:tcW w:w="2242" w:type="dxa"/>
            <w:noWrap w:val="0"/>
            <w:vAlign w:val="center"/>
          </w:tcPr>
          <w:p w14:paraId="46BA9635">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850</w:t>
            </w:r>
            <w:r>
              <w:rPr>
                <w:rFonts w:ascii="Times New Roman" w:hAnsi="Times New Roman" w:eastAsia="仿宋_GB2312"/>
                <w:sz w:val="32"/>
                <w:szCs w:val="32"/>
              </w:rPr>
              <w:t>至</w:t>
            </w:r>
            <w:r>
              <w:rPr>
                <w:rFonts w:hint="eastAsia" w:ascii="Times New Roman" w:hAnsi="Times New Roman" w:eastAsia="仿宋_GB2312"/>
                <w:sz w:val="32"/>
                <w:szCs w:val="32"/>
                <w:lang w:val="en-US" w:eastAsia="zh-CN"/>
              </w:rPr>
              <w:t>949</w:t>
            </w:r>
            <w:r>
              <w:rPr>
                <w:rFonts w:ascii="Times New Roman" w:hAnsi="Times New Roman" w:eastAsia="仿宋_GB2312"/>
                <w:sz w:val="32"/>
                <w:szCs w:val="32"/>
              </w:rPr>
              <w:t>分</w:t>
            </w:r>
          </w:p>
        </w:tc>
        <w:tc>
          <w:tcPr>
            <w:tcW w:w="4116" w:type="dxa"/>
            <w:noWrap w:val="0"/>
            <w:vAlign w:val="center"/>
          </w:tcPr>
          <w:p w14:paraId="0842830C">
            <w:pPr>
              <w:pageBreakBefore w:val="0"/>
              <w:widowControl/>
              <w:kinsoku/>
              <w:wordWrap/>
              <w:overflowPunct/>
              <w:topLinePunct w:val="0"/>
              <w:autoSpaceDE/>
              <w:autoSpaceDN/>
              <w:bidi w:val="0"/>
              <w:adjustRightInd/>
              <w:snapToGrid w:val="0"/>
              <w:spacing w:line="520" w:lineRule="exact"/>
              <w:contextualSpacing/>
              <w:jc w:val="left"/>
              <w:textAlignment w:val="auto"/>
              <w:rPr>
                <w:rFonts w:ascii="Times New Roman" w:hAnsi="Times New Roman" w:eastAsia="仿宋_GB2312"/>
                <w:sz w:val="32"/>
                <w:szCs w:val="32"/>
              </w:rPr>
            </w:pPr>
            <w:r>
              <w:rPr>
                <w:rFonts w:ascii="Times New Roman" w:hAnsi="Times New Roman" w:eastAsia="仿宋_GB2312"/>
                <w:sz w:val="32"/>
                <w:szCs w:val="32"/>
              </w:rPr>
              <w:t>信用状况一般，一般</w:t>
            </w:r>
            <w:r>
              <w:rPr>
                <w:rFonts w:hint="eastAsia" w:ascii="Times New Roman" w:hAnsi="Times New Roman" w:eastAsia="仿宋_GB2312"/>
                <w:sz w:val="32"/>
                <w:szCs w:val="32"/>
                <w:lang w:eastAsia="zh-CN"/>
              </w:rPr>
              <w:t>为</w:t>
            </w:r>
            <w:r>
              <w:rPr>
                <w:rFonts w:ascii="Times New Roman" w:hAnsi="Times New Roman" w:eastAsia="仿宋_GB2312"/>
                <w:sz w:val="32"/>
                <w:szCs w:val="32"/>
              </w:rPr>
              <w:t>仅有少量轻微失信信息</w:t>
            </w:r>
          </w:p>
        </w:tc>
        <w:tc>
          <w:tcPr>
            <w:tcW w:w="938" w:type="dxa"/>
            <w:noWrap w:val="0"/>
            <w:vAlign w:val="center"/>
          </w:tcPr>
          <w:p w14:paraId="67814F6E">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黄色</w:t>
            </w:r>
          </w:p>
        </w:tc>
      </w:tr>
      <w:tr w14:paraId="5CD6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3358D5C1">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3</w:t>
            </w:r>
          </w:p>
        </w:tc>
        <w:tc>
          <w:tcPr>
            <w:tcW w:w="937" w:type="dxa"/>
            <w:noWrap w:val="0"/>
            <w:vAlign w:val="center"/>
          </w:tcPr>
          <w:p w14:paraId="465A6770">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C</w:t>
            </w:r>
          </w:p>
        </w:tc>
        <w:tc>
          <w:tcPr>
            <w:tcW w:w="2242" w:type="dxa"/>
            <w:noWrap w:val="0"/>
            <w:vAlign w:val="center"/>
          </w:tcPr>
          <w:p w14:paraId="379C1770">
            <w:pPr>
              <w:pageBreakBefore w:val="0"/>
              <w:widowControl/>
              <w:kinsoku/>
              <w:wordWrap/>
              <w:overflowPunct/>
              <w:topLinePunct w:val="0"/>
              <w:autoSpaceDE/>
              <w:autoSpaceDN/>
              <w:bidi w:val="0"/>
              <w:adjustRightInd/>
              <w:snapToGrid w:val="0"/>
              <w:spacing w:line="520" w:lineRule="exact"/>
              <w:contextualSpacing/>
              <w:jc w:val="center"/>
              <w:textAlignment w:val="auto"/>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val="en-US" w:eastAsia="zh-CN"/>
              </w:rPr>
              <w:t>850</w:t>
            </w:r>
            <w:r>
              <w:rPr>
                <w:rFonts w:ascii="Times New Roman" w:hAnsi="Times New Roman" w:eastAsia="仿宋_GB2312" w:cs="Times New Roman"/>
                <w:sz w:val="32"/>
                <w:szCs w:val="32"/>
              </w:rPr>
              <w:t>分</w:t>
            </w:r>
            <w:r>
              <w:rPr>
                <w:rFonts w:hint="eastAsia" w:ascii="Times New Roman" w:hAnsi="Times New Roman" w:eastAsia="仿宋_GB2312" w:cs="Times New Roman"/>
                <w:sz w:val="32"/>
                <w:szCs w:val="32"/>
                <w:lang w:eastAsia="zh-CN"/>
              </w:rPr>
              <w:t>以下</w:t>
            </w:r>
            <w:r>
              <w:rPr>
                <w:rFonts w:ascii="Times New Roman" w:hAnsi="Times New Roman" w:eastAsia="仿宋_GB2312" w:cs="Times New Roman"/>
                <w:sz w:val="32"/>
                <w:szCs w:val="32"/>
              </w:rPr>
              <w:t>且未被认定为严重失信主体名单、没有刑事处罚信息的</w:t>
            </w:r>
          </w:p>
        </w:tc>
        <w:tc>
          <w:tcPr>
            <w:tcW w:w="4116" w:type="dxa"/>
            <w:noWrap w:val="0"/>
            <w:vAlign w:val="center"/>
          </w:tcPr>
          <w:p w14:paraId="0DAA785F">
            <w:pPr>
              <w:pageBreakBefore w:val="0"/>
              <w:widowControl/>
              <w:kinsoku/>
              <w:wordWrap/>
              <w:overflowPunct/>
              <w:topLinePunct w:val="0"/>
              <w:autoSpaceDE/>
              <w:autoSpaceDN/>
              <w:bidi w:val="0"/>
              <w:adjustRightInd/>
              <w:snapToGrid w:val="0"/>
              <w:spacing w:line="520" w:lineRule="exact"/>
              <w:contextualSpacing/>
              <w:jc w:val="left"/>
              <w:textAlignment w:val="auto"/>
              <w:rPr>
                <w:rFonts w:ascii="Times New Roman" w:hAnsi="Times New Roman" w:eastAsia="仿宋_GB2312"/>
                <w:sz w:val="32"/>
                <w:szCs w:val="32"/>
              </w:rPr>
            </w:pPr>
            <w:r>
              <w:rPr>
                <w:rFonts w:ascii="Times New Roman" w:hAnsi="Times New Roman" w:eastAsia="仿宋_GB2312"/>
                <w:sz w:val="32"/>
                <w:szCs w:val="32"/>
              </w:rPr>
              <w:t>信用状况较差，一般</w:t>
            </w:r>
            <w:r>
              <w:rPr>
                <w:rFonts w:hint="eastAsia" w:ascii="Times New Roman" w:hAnsi="Times New Roman" w:eastAsia="仿宋_GB2312"/>
                <w:sz w:val="32"/>
                <w:szCs w:val="32"/>
                <w:lang w:eastAsia="zh-CN"/>
              </w:rPr>
              <w:t>为</w:t>
            </w:r>
            <w:r>
              <w:rPr>
                <w:rFonts w:ascii="Times New Roman" w:hAnsi="Times New Roman" w:eastAsia="仿宋_GB2312"/>
                <w:sz w:val="32"/>
                <w:szCs w:val="32"/>
              </w:rPr>
              <w:t>有较多失信信息</w:t>
            </w:r>
          </w:p>
        </w:tc>
        <w:tc>
          <w:tcPr>
            <w:tcW w:w="938" w:type="dxa"/>
            <w:noWrap w:val="0"/>
            <w:vAlign w:val="center"/>
          </w:tcPr>
          <w:p w14:paraId="76218D54">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橙色</w:t>
            </w:r>
          </w:p>
        </w:tc>
      </w:tr>
      <w:tr w14:paraId="6C78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dxa"/>
            <w:noWrap w:val="0"/>
            <w:vAlign w:val="center"/>
          </w:tcPr>
          <w:p w14:paraId="1CAD11A6">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4</w:t>
            </w:r>
          </w:p>
        </w:tc>
        <w:tc>
          <w:tcPr>
            <w:tcW w:w="937" w:type="dxa"/>
            <w:noWrap w:val="0"/>
            <w:vAlign w:val="center"/>
          </w:tcPr>
          <w:p w14:paraId="4B4833CE">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D</w:t>
            </w:r>
          </w:p>
        </w:tc>
        <w:tc>
          <w:tcPr>
            <w:tcW w:w="2242" w:type="dxa"/>
            <w:noWrap w:val="0"/>
            <w:vAlign w:val="center"/>
          </w:tcPr>
          <w:p w14:paraId="2216A9FC">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cs="Times New Roman"/>
                <w:sz w:val="32"/>
                <w:szCs w:val="32"/>
              </w:rPr>
              <w:t>被认定为严重失信主体名单或有刑事处罚信息的</w:t>
            </w:r>
          </w:p>
        </w:tc>
        <w:tc>
          <w:tcPr>
            <w:tcW w:w="4116" w:type="dxa"/>
            <w:noWrap w:val="0"/>
            <w:vAlign w:val="center"/>
          </w:tcPr>
          <w:p w14:paraId="1E073D66">
            <w:pPr>
              <w:pageBreakBefore w:val="0"/>
              <w:widowControl/>
              <w:kinsoku/>
              <w:wordWrap/>
              <w:overflowPunct/>
              <w:topLinePunct w:val="0"/>
              <w:autoSpaceDE/>
              <w:autoSpaceDN/>
              <w:bidi w:val="0"/>
              <w:adjustRightInd/>
              <w:snapToGrid w:val="0"/>
              <w:spacing w:line="520" w:lineRule="exact"/>
              <w:contextualSpacing/>
              <w:jc w:val="left"/>
              <w:textAlignment w:val="auto"/>
              <w:rPr>
                <w:rFonts w:ascii="Times New Roman" w:hAnsi="Times New Roman" w:eastAsia="仿宋_GB2312"/>
                <w:sz w:val="32"/>
                <w:szCs w:val="32"/>
              </w:rPr>
            </w:pPr>
            <w:r>
              <w:rPr>
                <w:rFonts w:ascii="Times New Roman" w:hAnsi="Times New Roman" w:eastAsia="仿宋_GB2312"/>
                <w:sz w:val="32"/>
                <w:szCs w:val="32"/>
              </w:rPr>
              <w:t>信用状况很差，一般</w:t>
            </w:r>
            <w:r>
              <w:rPr>
                <w:rFonts w:hint="eastAsia" w:ascii="Times New Roman" w:hAnsi="Times New Roman" w:eastAsia="仿宋_GB2312"/>
                <w:sz w:val="32"/>
                <w:szCs w:val="32"/>
                <w:lang w:eastAsia="zh-CN"/>
              </w:rPr>
              <w:t>为</w:t>
            </w:r>
            <w:r>
              <w:rPr>
                <w:rFonts w:ascii="Times New Roman" w:hAnsi="Times New Roman" w:eastAsia="仿宋_GB2312"/>
                <w:sz w:val="32"/>
                <w:szCs w:val="32"/>
              </w:rPr>
              <w:t>存在严重失信信息</w:t>
            </w:r>
          </w:p>
        </w:tc>
        <w:tc>
          <w:tcPr>
            <w:tcW w:w="938" w:type="dxa"/>
            <w:noWrap w:val="0"/>
            <w:vAlign w:val="center"/>
          </w:tcPr>
          <w:p w14:paraId="54FBBAA6">
            <w:pPr>
              <w:pageBreakBefore w:val="0"/>
              <w:widowControl/>
              <w:kinsoku/>
              <w:wordWrap/>
              <w:overflowPunct/>
              <w:topLinePunct w:val="0"/>
              <w:autoSpaceDE/>
              <w:autoSpaceDN/>
              <w:bidi w:val="0"/>
              <w:adjustRightInd/>
              <w:snapToGrid w:val="0"/>
              <w:spacing w:line="520" w:lineRule="exact"/>
              <w:contextualSpacing/>
              <w:jc w:val="center"/>
              <w:textAlignment w:val="auto"/>
              <w:rPr>
                <w:rFonts w:ascii="Times New Roman" w:hAnsi="Times New Roman" w:eastAsia="仿宋_GB2312"/>
                <w:sz w:val="32"/>
                <w:szCs w:val="32"/>
              </w:rPr>
            </w:pPr>
            <w:r>
              <w:rPr>
                <w:rFonts w:ascii="Times New Roman" w:hAnsi="Times New Roman" w:eastAsia="仿宋_GB2312"/>
                <w:sz w:val="32"/>
                <w:szCs w:val="32"/>
              </w:rPr>
              <w:t>红色</w:t>
            </w:r>
          </w:p>
        </w:tc>
      </w:tr>
    </w:tbl>
    <w:p w14:paraId="307FC685">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Style w:val="10"/>
          <w:rFonts w:ascii="Times New Roman" w:hAnsi="Times New Roman" w:eastAsia="仿宋_GB2312"/>
          <w:sz w:val="32"/>
          <w:szCs w:val="32"/>
        </w:rPr>
      </w:pPr>
      <w:r>
        <w:rPr>
          <w:rFonts w:ascii="Times New Roman" w:hAnsi="Times New Roman" w:eastAsia="仿宋_GB2312"/>
          <w:sz w:val="32"/>
          <w:szCs w:val="32"/>
        </w:rPr>
        <w:t>【等级控制】 市场主体被依法纳入严重失信主体名单的，信用等级直接判定为D级。</w:t>
      </w:r>
    </w:p>
    <w:p w14:paraId="079405A2">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Fonts w:ascii="Times New Roman" w:hAnsi="Times New Roman" w:eastAsia="仿宋_GB2312"/>
          <w:sz w:val="32"/>
          <w:szCs w:val="32"/>
        </w:rPr>
      </w:pPr>
      <w:r>
        <w:rPr>
          <w:rFonts w:ascii="Times New Roman" w:hAnsi="Times New Roman" w:eastAsia="仿宋_GB2312"/>
          <w:sz w:val="32"/>
          <w:szCs w:val="32"/>
        </w:rPr>
        <w:t>市场主体信用评价指标项及权重实行动态管理。区发展和改革局根据实际情况，定期对市场主体信用评价指标进行全方位评估，并根据评估结果进行优化和调整、更新评分细则。</w:t>
      </w:r>
    </w:p>
    <w:p w14:paraId="535FCC61">
      <w:pPr>
        <w:pageBreakBefore w:val="0"/>
        <w:widowControl/>
        <w:numPr>
          <w:ilvl w:val="0"/>
          <w:numId w:val="1"/>
        </w:numPr>
        <w:kinsoku/>
        <w:wordWrap/>
        <w:overflowPunct/>
        <w:topLinePunct w:val="0"/>
        <w:autoSpaceDE/>
        <w:autoSpaceDN/>
        <w:bidi w:val="0"/>
        <w:adjustRightInd/>
        <w:snapToGrid w:val="0"/>
        <w:spacing w:line="520" w:lineRule="exact"/>
        <w:ind w:firstLine="640" w:firstLineChars="200"/>
        <w:contextualSpacing/>
        <w:textAlignment w:val="auto"/>
        <w:rPr>
          <w:rFonts w:hint="eastAsia" w:ascii="Times New Roman" w:hAnsi="Times New Roman" w:eastAsia="仿宋_GB2312" w:cs="Times New Roman"/>
          <w:b w:val="0"/>
          <w:bCs w:val="0"/>
          <w:kern w:val="2"/>
          <w:sz w:val="32"/>
          <w:szCs w:val="32"/>
          <w:lang w:val="en-US" w:eastAsia="zh-CN" w:bidi="ar-SA"/>
        </w:rPr>
      </w:pPr>
      <w:r>
        <w:rPr>
          <w:rFonts w:ascii="Times New Roman" w:hAnsi="Times New Roman" w:eastAsia="仿宋_GB2312"/>
          <w:sz w:val="32"/>
          <w:szCs w:val="32"/>
        </w:rPr>
        <w:t>本细则自202</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7</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日起试行</w:t>
      </w:r>
      <w:r>
        <w:rPr>
          <w:rFonts w:hint="eastAsia" w:ascii="Times New Roman" w:hAnsi="Times New Roman" w:eastAsia="仿宋_GB2312"/>
          <w:sz w:val="32"/>
          <w:szCs w:val="32"/>
        </w:rPr>
        <w:t>，有效期与《</w:t>
      </w:r>
      <w:r>
        <w:rPr>
          <w:rFonts w:hint="eastAsia" w:ascii="Times New Roman" w:hAnsi="Times New Roman" w:eastAsia="仿宋_GB2312"/>
          <w:sz w:val="32"/>
          <w:szCs w:val="32"/>
          <w:lang w:eastAsia="zh-CN"/>
        </w:rPr>
        <w:t>随州市曾都区</w:t>
      </w:r>
      <w:r>
        <w:rPr>
          <w:rFonts w:hint="eastAsia" w:ascii="Times New Roman" w:hAnsi="Times New Roman" w:eastAsia="仿宋_GB2312"/>
          <w:sz w:val="32"/>
          <w:szCs w:val="32"/>
        </w:rPr>
        <w:t>市场主体信用评价管理办法（试行）》一致</w:t>
      </w:r>
      <w:r>
        <w:rPr>
          <w:rFonts w:ascii="Times New Roman" w:hAnsi="Times New Roman" w:eastAsia="仿宋_GB2312"/>
          <w:sz w:val="32"/>
          <w:szCs w:val="32"/>
        </w:rPr>
        <w:t>。</w:t>
      </w:r>
    </w:p>
    <w:p w14:paraId="4FCD43D6">
      <w:pPr>
        <w:pStyle w:val="2"/>
        <w:pageBreakBefore w:val="0"/>
        <w:kinsoku/>
        <w:wordWrap/>
        <w:overflowPunct/>
        <w:topLinePunct w:val="0"/>
        <w:autoSpaceDE/>
        <w:autoSpaceDN/>
        <w:bidi w:val="0"/>
        <w:adjustRightInd/>
        <w:snapToGrid w:val="0"/>
        <w:spacing w:line="520" w:lineRule="exact"/>
        <w:ind w:firstLine="640" w:firstLineChars="200"/>
        <w:textAlignment w:val="auto"/>
        <w:rPr>
          <w:rFonts w:hint="eastAsia" w:ascii="Times New Roman" w:hAnsi="Times New Roman" w:eastAsia="仿宋_GB2312" w:cs="Times New Roman"/>
          <w:b w:val="0"/>
          <w:bCs w:val="0"/>
          <w:kern w:val="2"/>
          <w:sz w:val="32"/>
          <w:szCs w:val="32"/>
          <w:lang w:val="en-US" w:eastAsia="zh-CN" w:bidi="ar-SA"/>
        </w:rPr>
      </w:pPr>
    </w:p>
    <w:p w14:paraId="1CB542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Style w:val="9"/>
          <w:rFonts w:hint="eastAsia" w:ascii="仿宋_GB2312" w:hAnsi="仿宋_GB2312" w:eastAsia="仿宋_GB2312" w:cs="仿宋_GB2312"/>
          <w:b/>
          <w:bCs/>
          <w:color w:val="000000"/>
          <w:spacing w:val="0"/>
          <w:sz w:val="32"/>
          <w:szCs w:val="32"/>
          <w:lang w:eastAsia="zh-CN"/>
        </w:rPr>
      </w:pPr>
    </w:p>
    <w:p w14:paraId="573E95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Style w:val="9"/>
          <w:rFonts w:hint="eastAsia" w:ascii="仿宋_GB2312" w:hAnsi="仿宋_GB2312" w:eastAsia="仿宋_GB2312" w:cs="仿宋_GB2312"/>
          <w:b/>
          <w:bCs/>
          <w:color w:val="000000"/>
          <w:spacing w:val="0"/>
          <w:sz w:val="32"/>
          <w:szCs w:val="32"/>
          <w:lang w:eastAsia="zh-CN"/>
        </w:rPr>
      </w:pPr>
    </w:p>
    <w:p w14:paraId="78E360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jc w:val="left"/>
        <w:rPr>
          <w:rStyle w:val="9"/>
          <w:rFonts w:hint="eastAsia" w:ascii="仿宋_GB2312" w:hAnsi="仿宋_GB2312" w:eastAsia="仿宋_GB2312" w:cs="仿宋_GB2312"/>
          <w:b/>
          <w:bCs/>
          <w:color w:val="000000"/>
          <w:spacing w:val="0"/>
          <w:sz w:val="32"/>
          <w:szCs w:val="32"/>
          <w:lang w:eastAsia="zh-CN"/>
        </w:rPr>
      </w:pPr>
    </w:p>
    <w:p w14:paraId="531CE9B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033FB">
    <w:pPr>
      <w:pStyle w:val="4"/>
      <w:ind w:right="97" w:rightChars="46"/>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B3BA876">
                          <w:pPr>
                            <w:pStyle w:val="4"/>
                            <w:rPr>
                              <w:rFonts w:hint="eastAsia"/>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B3BA876">
                    <w:pPr>
                      <w:pStyle w:val="4"/>
                      <w:rPr>
                        <w:rFonts w:hint="eastAsia"/>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E3E10">
    <w:pPr>
      <w:pStyle w:val="5"/>
      <w:pBdr>
        <w:bottom w:val="none" w:color="auto" w:sz="0" w:space="1"/>
      </w:pBdr>
      <w:tabs>
        <w:tab w:val="clear" w:pos="4153"/>
        <w:tab w:val="clear" w:pos="8306"/>
      </w:tabs>
      <w:jc w:val="distribute"/>
      <w:rPr>
        <w:rFonts w:ascii="黑体" w:hAnsi="黑体" w:eastAsia="黑体" w:cs="黑体"/>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7A0162"/>
    <w:multiLevelType w:val="multilevel"/>
    <w:tmpl w:val="107A0162"/>
    <w:lvl w:ilvl="0" w:tentative="0">
      <w:start w:val="1"/>
      <w:numFmt w:val="chineseCounting"/>
      <w:suff w:val="space"/>
      <w:lvlText w:val="第%1条"/>
      <w:lvlJc w:val="left"/>
      <w:rPr>
        <w:rFonts w:hint="eastAsia" w:ascii="黑体" w:hAnsi="黑体" w:eastAsia="黑体" w:cs="黑体"/>
        <w:sz w:val="32"/>
        <w:szCs w:val="32"/>
        <w:lang w:val="en-US"/>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hNzkzMDIwN2U4MmM0MjI0MTE2ZjczMmI3ZDgzMWUifQ=="/>
  </w:docVars>
  <w:rsids>
    <w:rsidRoot w:val="3A2D2F3F"/>
    <w:rsid w:val="3A2D2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b/>
      <w:bCs/>
      <w:sz w:val="24"/>
      <w:szCs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spacing w:line="360" w:lineRule="auto"/>
      <w:ind w:firstLine="420" w:firstLineChars="200"/>
    </w:pPr>
    <w:rPr>
      <w:rFonts w:eastAsia="宋体"/>
      <w:sz w:val="21"/>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9">
    <w:name w:val="Strong"/>
    <w:qFormat/>
    <w:uiPriority w:val="22"/>
    <w:rPr>
      <w:b/>
      <w:bCs/>
    </w:rPr>
  </w:style>
  <w:style w:type="character" w:customStyle="1" w:styleId="10">
    <w:name w:val="nlkfqirnlfjer1dfgzxcyiuro"/>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2024-10-25T08:16:00Z</dcterms:created>
  <dc:creator>李哈哈</dc:creator>
  <cp:lastModifiedBy>李哈哈</cp:lastModifiedBy>
  <dcterms:modified xsi:type="dcterms:W3CDTF">2024-10-25T08:16:54Z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5A58DE512F7545108BCB30D69A261065_11</vt:lpwstr>
  </property>
</Properties>
</file>