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4CF0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bookmarkStart w:id="0" w:name="_GoBack"/>
      <w:bookmarkEnd w:id="0"/>
    </w:p>
    <w:p w14:paraId="4CD78D21">
      <w:pPr>
        <w:pStyle w:val="2"/>
        <w:keepNext w:val="0"/>
        <w:keepLines w:val="0"/>
        <w:pageBreakBefore w:val="0"/>
        <w:overflowPunct/>
        <w:topLinePunct w:val="0"/>
        <w:bidi w:val="0"/>
        <w:spacing w:after="0" w:line="600" w:lineRule="exact"/>
        <w:rPr>
          <w:rFonts w:hint="eastAsia"/>
        </w:rPr>
      </w:pPr>
    </w:p>
    <w:p w14:paraId="44D14FF4">
      <w:pPr>
        <w:pStyle w:val="2"/>
        <w:keepNext w:val="0"/>
        <w:keepLines w:val="0"/>
        <w:pageBreakBefore w:val="0"/>
        <w:overflowPunct/>
        <w:topLinePunct w:val="0"/>
        <w:bidi w:val="0"/>
        <w:spacing w:after="0" w:line="600" w:lineRule="exact"/>
        <w:rPr>
          <w:rFonts w:hint="eastAsia"/>
        </w:rPr>
      </w:pPr>
    </w:p>
    <w:p w14:paraId="437AD4BA">
      <w:pPr>
        <w:keepNext w:val="0"/>
        <w:keepLines w:val="0"/>
        <w:pageBreakBefore w:val="0"/>
        <w:overflowPunct/>
        <w:topLinePunct w:val="0"/>
        <w:bidi w:val="0"/>
        <w:spacing w:line="600" w:lineRule="exact"/>
        <w:rPr>
          <w:rFonts w:hint="eastAsia"/>
        </w:rPr>
      </w:pPr>
    </w:p>
    <w:p w14:paraId="524542A4">
      <w:pPr>
        <w:pStyle w:val="2"/>
        <w:keepNext w:val="0"/>
        <w:keepLines w:val="0"/>
        <w:pageBreakBefore w:val="0"/>
        <w:overflowPunct/>
        <w:topLinePunct w:val="0"/>
        <w:bidi w:val="0"/>
        <w:spacing w:after="0" w:line="600" w:lineRule="exact"/>
        <w:rPr>
          <w:rFonts w:hint="eastAsia"/>
        </w:rPr>
      </w:pPr>
    </w:p>
    <w:p w14:paraId="143781C2">
      <w:pPr>
        <w:keepNext w:val="0"/>
        <w:keepLines w:val="0"/>
        <w:pageBreakBefore w:val="0"/>
        <w:overflowPunct/>
        <w:topLinePunct w:val="0"/>
        <w:bidi w:val="0"/>
        <w:spacing w:line="600" w:lineRule="exact"/>
        <w:rPr>
          <w:rFonts w:hint="eastAsia"/>
        </w:rPr>
      </w:pPr>
    </w:p>
    <w:p w14:paraId="6A10C0F2">
      <w:pPr>
        <w:keepNext w:val="0"/>
        <w:keepLines w:val="0"/>
        <w:pageBreakBefore w:val="0"/>
        <w:overflowPunct/>
        <w:topLinePunct w:val="0"/>
        <w:bidi w:val="0"/>
        <w:spacing w:line="600" w:lineRule="exact"/>
        <w:jc w:val="center"/>
        <w:rPr>
          <w:rFonts w:hint="eastAsia"/>
        </w:rPr>
      </w:pPr>
      <w:r>
        <w:rPr>
          <w:rFonts w:hint="eastAsia" w:ascii="仿宋_GB2312" w:hAnsi="仿宋" w:eastAsia="仿宋_GB2312" w:cs="仿宋"/>
          <w:sz w:val="32"/>
          <w:szCs w:val="32"/>
        </w:rPr>
        <w:t>曾营商发〔</w:t>
      </w:r>
      <w:r>
        <w:rPr>
          <w:rFonts w:ascii="仿宋_GB2312" w:hAnsi="仿宋" w:eastAsia="仿宋_GB2312" w:cs="仿宋"/>
          <w:sz w:val="32"/>
          <w:szCs w:val="32"/>
        </w:rPr>
        <w:t>2023</w:t>
      </w:r>
      <w:r>
        <w:rPr>
          <w:rFonts w:hint="eastAsia" w:ascii="仿宋_GB2312" w:hAnsi="仿宋" w:eastAsia="仿宋_GB2312" w:cs="仿宋"/>
          <w:sz w:val="32"/>
          <w:szCs w:val="32"/>
        </w:rPr>
        <w:t>〕</w:t>
      </w:r>
      <w:r>
        <w:rPr>
          <w:rFonts w:hint="eastAsia" w:ascii="仿宋_GB2312" w:hAnsi="仿宋" w:cs="仿宋"/>
          <w:sz w:val="32"/>
          <w:szCs w:val="32"/>
          <w:lang w:val="en-US" w:eastAsia="zh-CN"/>
        </w:rPr>
        <w:t>9</w:t>
      </w:r>
      <w:r>
        <w:rPr>
          <w:rFonts w:hint="eastAsia" w:ascii="仿宋_GB2312" w:hAnsi="仿宋" w:eastAsia="仿宋_GB2312" w:cs="仿宋"/>
          <w:sz w:val="32"/>
          <w:szCs w:val="32"/>
        </w:rPr>
        <w:t>号</w:t>
      </w:r>
    </w:p>
    <w:p w14:paraId="1399744E">
      <w:pPr>
        <w:pStyle w:val="2"/>
        <w:keepNext w:val="0"/>
        <w:keepLines w:val="0"/>
        <w:pageBreakBefore w:val="0"/>
        <w:overflowPunct/>
        <w:topLinePunct w:val="0"/>
        <w:bidi w:val="0"/>
        <w:spacing w:after="0" w:line="600" w:lineRule="exact"/>
        <w:rPr>
          <w:rFonts w:hint="eastAsia"/>
        </w:rPr>
      </w:pPr>
    </w:p>
    <w:p w14:paraId="36FAC0E7">
      <w:pPr>
        <w:keepNext w:val="0"/>
        <w:keepLines w:val="0"/>
        <w:pageBreakBefore w:val="0"/>
        <w:overflowPunct/>
        <w:topLinePunct w:val="0"/>
        <w:bidi w:val="0"/>
        <w:spacing w:line="600" w:lineRule="exact"/>
        <w:rPr>
          <w:rFonts w:hint="eastAsia"/>
        </w:rPr>
      </w:pPr>
    </w:p>
    <w:p w14:paraId="4B109ED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0"/>
          <w:szCs w:val="40"/>
          <w:lang w:eastAsia="zh-CN"/>
        </w:rPr>
      </w:pPr>
      <w:r>
        <w:rPr>
          <w:rFonts w:hint="eastAsia" w:ascii="方正小标宋简体" w:hAnsi="方正小标宋简体" w:eastAsia="方正小标宋简体" w:cs="方正小标宋简体"/>
          <w:b w:val="0"/>
          <w:bCs w:val="0"/>
          <w:sz w:val="40"/>
          <w:szCs w:val="40"/>
          <w:lang w:eastAsia="zh-CN"/>
        </w:rPr>
        <w:t>关于印发《2023年以控制成本为核心优化营商</w:t>
      </w:r>
    </w:p>
    <w:p w14:paraId="195F685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0"/>
          <w:szCs w:val="40"/>
          <w:lang w:eastAsia="zh-CN"/>
        </w:rPr>
      </w:pPr>
      <w:r>
        <w:rPr>
          <w:rFonts w:hint="eastAsia" w:ascii="方正小标宋简体" w:hAnsi="方正小标宋简体" w:eastAsia="方正小标宋简体" w:cs="方正小标宋简体"/>
          <w:b w:val="0"/>
          <w:bCs w:val="0"/>
          <w:sz w:val="40"/>
          <w:szCs w:val="40"/>
          <w:lang w:eastAsia="zh-CN"/>
        </w:rPr>
        <w:t>环境行动方案》《以控制成本为核心优化营商</w:t>
      </w:r>
    </w:p>
    <w:p w14:paraId="60192F9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0"/>
          <w:szCs w:val="40"/>
          <w:lang w:eastAsia="zh-CN"/>
        </w:rPr>
      </w:pPr>
      <w:r>
        <w:rPr>
          <w:rFonts w:hint="eastAsia" w:ascii="方正小标宋简体" w:hAnsi="方正小标宋简体" w:eastAsia="方正小标宋简体" w:cs="方正小标宋简体"/>
          <w:b w:val="0"/>
          <w:bCs w:val="0"/>
          <w:sz w:val="40"/>
          <w:szCs w:val="40"/>
          <w:lang w:eastAsia="zh-CN"/>
        </w:rPr>
        <w:t>环境操作流程图（2023年版）》的通知</w:t>
      </w:r>
    </w:p>
    <w:p w14:paraId="7768BD1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CESI仿宋-GB2312" w:hAnsi="CESI仿宋-GB2312" w:eastAsia="CESI仿宋-GB2312" w:cs="CESI仿宋-GB2312"/>
          <w:sz w:val="32"/>
          <w:szCs w:val="32"/>
          <w:lang w:eastAsia="zh-CN"/>
        </w:rPr>
      </w:pPr>
    </w:p>
    <w:p w14:paraId="32CE9C8A">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曾都</w:t>
      </w:r>
      <w:r>
        <w:rPr>
          <w:rFonts w:hint="eastAsia" w:ascii="仿宋_GB2312" w:hAnsi="仿宋_GB2312" w:eastAsia="仿宋_GB2312" w:cs="仿宋_GB2312"/>
          <w:sz w:val="32"/>
          <w:szCs w:val="32"/>
          <w:lang w:eastAsia="zh-CN"/>
        </w:rPr>
        <w:t>区优化营商环境领导小组各成员单位：</w:t>
      </w:r>
    </w:p>
    <w:p w14:paraId="1A2CA97D">
      <w:pPr>
        <w:keepNext w:val="0"/>
        <w:keepLines w:val="0"/>
        <w:pageBreakBefore w:val="0"/>
        <w:widowControl w:val="0"/>
        <w:kinsoku/>
        <w:wordWrap/>
        <w:overflowPunct/>
        <w:topLinePunct w:val="0"/>
        <w:autoSpaceDE/>
        <w:autoSpaceDN/>
        <w:bidi w:val="0"/>
        <w:adjustRightInd/>
        <w:snapToGrid/>
        <w:spacing w:line="600" w:lineRule="exact"/>
        <w:ind w:firstLine="624"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经区优化营商环境领导小组同意，现将《2023年以控制成本为核心优化营商环境行动方案》《以控制成本为核心优化营商环境操作流程图（2023年版）》印发给你们，</w:t>
      </w:r>
      <w:r>
        <w:rPr>
          <w:rFonts w:hint="eastAsia" w:ascii="仿宋_GB2312" w:hAnsi="仿宋_GB2312" w:eastAsia="仿宋_GB2312" w:cs="仿宋_GB2312"/>
          <w:sz w:val="32"/>
          <w:szCs w:val="32"/>
          <w:lang w:val="en-US" w:eastAsia="zh-CN"/>
        </w:rPr>
        <w:t>请认真贯彻落实。</w:t>
      </w:r>
    </w:p>
    <w:p w14:paraId="651D8C8C">
      <w:pPr>
        <w:keepNext w:val="0"/>
        <w:keepLines w:val="0"/>
        <w:pageBreakBefore w:val="0"/>
        <w:overflowPunct/>
        <w:topLinePunct w:val="0"/>
        <w:bidi w:val="0"/>
        <w:spacing w:line="600" w:lineRule="exact"/>
        <w:rPr>
          <w:rFonts w:hint="eastAsia" w:ascii="仿宋_GB2312" w:hAnsi="仿宋_GB2312" w:eastAsia="仿宋_GB2312" w:cs="仿宋_GB2312"/>
          <w:lang w:val="en-US" w:eastAsia="zh-CN"/>
        </w:rPr>
      </w:pPr>
    </w:p>
    <w:p w14:paraId="2FE6F70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24"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曾都区优化营商环境领导小组</w:t>
      </w:r>
    </w:p>
    <w:p w14:paraId="2E369EE3">
      <w:pPr>
        <w:keepNext w:val="0"/>
        <w:keepLines w:val="0"/>
        <w:pageBreakBefore w:val="0"/>
        <w:widowControl w:val="0"/>
        <w:numPr>
          <w:ilvl w:val="0"/>
          <w:numId w:val="0"/>
        </w:numPr>
        <w:kinsoku/>
        <w:wordWrap w:val="0"/>
        <w:overflowPunct/>
        <w:topLinePunct w:val="0"/>
        <w:autoSpaceDE/>
        <w:autoSpaceDN/>
        <w:bidi w:val="0"/>
        <w:adjustRightInd/>
        <w:snapToGrid/>
        <w:spacing w:line="600" w:lineRule="exact"/>
        <w:ind w:firstLine="624"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2023年</w:t>
      </w:r>
      <w:r>
        <w:rPr>
          <w:rFonts w:hint="eastAsia" w:ascii="仿宋_GB2312" w:hAnsi="仿宋_GB2312" w:cs="仿宋_GB2312"/>
          <w:sz w:val="32"/>
          <w:szCs w:val="32"/>
          <w:lang w:val="en-US" w:eastAsia="zh-CN"/>
        </w:rPr>
        <w:t>8</w:t>
      </w:r>
      <w:r>
        <w:rPr>
          <w:rFonts w:hint="eastAsia" w:ascii="仿宋_GB2312" w:hAnsi="仿宋_GB2312" w:eastAsia="仿宋_GB2312" w:cs="仿宋_GB2312"/>
          <w:sz w:val="32"/>
          <w:szCs w:val="32"/>
          <w:lang w:val="en-US" w:eastAsia="zh-CN"/>
        </w:rPr>
        <w:t>月</w:t>
      </w:r>
      <w:r>
        <w:rPr>
          <w:rFonts w:hint="eastAsia" w:ascii="仿宋_GB2312" w:hAnsi="仿宋_GB2312" w:cs="仿宋_GB2312"/>
          <w:sz w:val="32"/>
          <w:szCs w:val="32"/>
          <w:lang w:val="en-US" w:eastAsia="zh-CN"/>
        </w:rPr>
        <w:t xml:space="preserve"> 8</w:t>
      </w:r>
      <w:r>
        <w:rPr>
          <w:rFonts w:hint="eastAsia" w:ascii="仿宋_GB2312" w:hAnsi="仿宋_GB2312" w:eastAsia="仿宋_GB2312" w:cs="仿宋_GB2312"/>
          <w:sz w:val="32"/>
          <w:szCs w:val="32"/>
          <w:lang w:val="en-US" w:eastAsia="zh-CN"/>
        </w:rPr>
        <w:t xml:space="preserve"> 日</w:t>
      </w:r>
    </w:p>
    <w:p w14:paraId="51A7C51F">
      <w:pPr>
        <w:rPr>
          <w:rFonts w:hint="eastAsia"/>
          <w:lang w:val="en-US" w:eastAsia="zh-CN"/>
        </w:rPr>
      </w:pPr>
    </w:p>
    <w:p w14:paraId="11BB7750">
      <w:pPr>
        <w:keepNext w:val="0"/>
        <w:keepLines w:val="0"/>
        <w:pageBreakBefore w:val="0"/>
        <w:widowControl w:val="0"/>
        <w:shd w:val="clear"/>
        <w:kinsoku/>
        <w:wordWrap/>
        <w:overflowPunct/>
        <w:topLinePunct w:val="0"/>
        <w:autoSpaceDE w:val="0"/>
        <w:autoSpaceDN w:val="0"/>
        <w:bidi w:val="0"/>
        <w:adjustRightInd/>
        <w:snapToGrid/>
        <w:spacing w:line="600" w:lineRule="exact"/>
        <w:ind w:left="0" w:leftChars="0" w:firstLine="0" w:firstLineChars="0"/>
        <w:jc w:val="center"/>
        <w:textAlignment w:val="baseline"/>
        <w:rPr>
          <w:rFonts w:hint="eastAsia" w:ascii="方正小标宋简体" w:hAnsi="方正小标宋简体" w:eastAsia="方正小标宋简体" w:cs="方正小标宋简体"/>
          <w:color w:val="000000" w:themeColor="text1"/>
          <w:sz w:val="40"/>
          <w:szCs w:val="40"/>
          <w14:textFill>
            <w14:solidFill>
              <w14:schemeClr w14:val="tx1"/>
            </w14:solidFill>
          </w14:textFill>
        </w:rPr>
      </w:pPr>
      <w:r>
        <w:rPr>
          <w:rFonts w:hint="eastAsia" w:ascii="方正小标宋简体" w:hAnsi="方正小标宋简体" w:eastAsia="方正小标宋简体" w:cs="方正小标宋简体"/>
          <w:color w:val="000000" w:themeColor="text1"/>
          <w:sz w:val="40"/>
          <w:szCs w:val="40"/>
          <w14:textFill>
            <w14:solidFill>
              <w14:schemeClr w14:val="tx1"/>
            </w14:solidFill>
          </w14:textFill>
        </w:rPr>
        <w:t>2023年以控制成本为核心优化营商环境</w:t>
      </w:r>
    </w:p>
    <w:p w14:paraId="3942976D">
      <w:pPr>
        <w:keepNext w:val="0"/>
        <w:keepLines w:val="0"/>
        <w:pageBreakBefore w:val="0"/>
        <w:widowControl w:val="0"/>
        <w:shd w:val="clear"/>
        <w:kinsoku/>
        <w:wordWrap/>
        <w:overflowPunct/>
        <w:topLinePunct w:val="0"/>
        <w:autoSpaceDE w:val="0"/>
        <w:autoSpaceDN w:val="0"/>
        <w:bidi w:val="0"/>
        <w:adjustRightInd/>
        <w:snapToGrid/>
        <w:spacing w:line="600" w:lineRule="exact"/>
        <w:ind w:left="0" w:leftChars="0" w:firstLine="0" w:firstLineChars="0"/>
        <w:jc w:val="center"/>
        <w:textAlignment w:val="baseline"/>
        <w:rPr>
          <w:rFonts w:hint="eastAsia" w:ascii="楷体" w:hAnsi="楷体" w:eastAsia="楷体" w:cs="楷体"/>
          <w:sz w:val="40"/>
          <w:szCs w:val="40"/>
          <w:lang w:eastAsia="zh-CN"/>
        </w:rPr>
      </w:pPr>
      <w:r>
        <w:rPr>
          <w:rFonts w:hint="eastAsia" w:ascii="方正小标宋简体" w:hAnsi="方正小标宋简体" w:eastAsia="方正小标宋简体" w:cs="方正小标宋简体"/>
          <w:color w:val="000000" w:themeColor="text1"/>
          <w:sz w:val="40"/>
          <w:szCs w:val="40"/>
          <w14:textFill>
            <w14:solidFill>
              <w14:schemeClr w14:val="tx1"/>
            </w14:solidFill>
          </w14:textFill>
        </w:rPr>
        <w:t>行</w:t>
      </w:r>
      <w:r>
        <w:rPr>
          <w:rFonts w:hint="eastAsia" w:ascii="方正小标宋简体" w:hAnsi="方正小标宋简体" w:eastAsia="方正小标宋简体" w:cs="方正小标宋简体"/>
          <w:color w:val="000000" w:themeColor="text1"/>
          <w:sz w:val="40"/>
          <w:szCs w:val="40"/>
          <w:lang w:val="en-US" w:eastAsia="zh-CN"/>
          <w14:textFill>
            <w14:solidFill>
              <w14:schemeClr w14:val="tx1"/>
            </w14:solidFill>
          </w14:textFill>
        </w:rPr>
        <w:t xml:space="preserve">  </w:t>
      </w:r>
      <w:r>
        <w:rPr>
          <w:rFonts w:hint="eastAsia" w:ascii="方正小标宋简体" w:hAnsi="方正小标宋简体" w:eastAsia="方正小标宋简体" w:cs="方正小标宋简体"/>
          <w:color w:val="000000" w:themeColor="text1"/>
          <w:sz w:val="40"/>
          <w:szCs w:val="40"/>
          <w14:textFill>
            <w14:solidFill>
              <w14:schemeClr w14:val="tx1"/>
            </w14:solidFill>
          </w14:textFill>
        </w:rPr>
        <w:t>动</w:t>
      </w:r>
      <w:r>
        <w:rPr>
          <w:rFonts w:hint="eastAsia" w:ascii="方正小标宋简体" w:hAnsi="方正小标宋简体" w:eastAsia="方正小标宋简体" w:cs="方正小标宋简体"/>
          <w:color w:val="000000" w:themeColor="text1"/>
          <w:sz w:val="40"/>
          <w:szCs w:val="40"/>
          <w:lang w:val="en-US" w:eastAsia="zh-CN"/>
          <w14:textFill>
            <w14:solidFill>
              <w14:schemeClr w14:val="tx1"/>
            </w14:solidFill>
          </w14:textFill>
        </w:rPr>
        <w:t xml:space="preserve">  </w:t>
      </w:r>
      <w:r>
        <w:rPr>
          <w:rFonts w:hint="eastAsia" w:ascii="方正小标宋简体" w:hAnsi="方正小标宋简体" w:eastAsia="方正小标宋简体" w:cs="方正小标宋简体"/>
          <w:color w:val="000000" w:themeColor="text1"/>
          <w:sz w:val="40"/>
          <w:szCs w:val="40"/>
          <w14:textFill>
            <w14:solidFill>
              <w14:schemeClr w14:val="tx1"/>
            </w14:solidFill>
          </w14:textFill>
        </w:rPr>
        <w:t>方</w:t>
      </w:r>
      <w:r>
        <w:rPr>
          <w:rFonts w:hint="eastAsia" w:ascii="方正小标宋简体" w:hAnsi="方正小标宋简体" w:eastAsia="方正小标宋简体" w:cs="方正小标宋简体"/>
          <w:color w:val="000000" w:themeColor="text1"/>
          <w:sz w:val="40"/>
          <w:szCs w:val="40"/>
          <w:lang w:val="en-US" w:eastAsia="zh-CN"/>
          <w14:textFill>
            <w14:solidFill>
              <w14:schemeClr w14:val="tx1"/>
            </w14:solidFill>
          </w14:textFill>
        </w:rPr>
        <w:t xml:space="preserve">  </w:t>
      </w:r>
      <w:r>
        <w:rPr>
          <w:rFonts w:hint="eastAsia" w:ascii="方正小标宋简体" w:hAnsi="方正小标宋简体" w:eastAsia="方正小标宋简体" w:cs="方正小标宋简体"/>
          <w:color w:val="000000" w:themeColor="text1"/>
          <w:sz w:val="40"/>
          <w:szCs w:val="40"/>
          <w14:textFill>
            <w14:solidFill>
              <w14:schemeClr w14:val="tx1"/>
            </w14:solidFill>
          </w14:textFill>
        </w:rPr>
        <w:t>案</w:t>
      </w:r>
    </w:p>
    <w:p w14:paraId="7213B57E">
      <w:pPr>
        <w:keepNext w:val="0"/>
        <w:keepLines w:val="0"/>
        <w:pageBreakBefore w:val="0"/>
        <w:widowControl w:val="0"/>
        <w:shd w:val="clear"/>
        <w:kinsoku/>
        <w:wordWrap/>
        <w:overflowPunct/>
        <w:topLinePunct w:val="0"/>
        <w:autoSpaceDE w:val="0"/>
        <w:autoSpaceDN w:val="0"/>
        <w:bidi w:val="0"/>
        <w:adjustRightInd/>
        <w:snapToGrid/>
        <w:spacing w:line="600" w:lineRule="exact"/>
        <w:ind w:firstLine="624" w:firstLineChars="200"/>
        <w:jc w:val="both"/>
        <w:textAlignment w:val="baseline"/>
        <w:rPr>
          <w:rFonts w:hint="default" w:ascii="Times New Roman" w:hAnsi="Times New Roman" w:cs="Times New Roman"/>
          <w:color w:val="000000" w:themeColor="text1"/>
          <w14:textFill>
            <w14:solidFill>
              <w14:schemeClr w14:val="tx1"/>
            </w14:solidFill>
          </w14:textFill>
        </w:rPr>
      </w:pPr>
    </w:p>
    <w:p w14:paraId="270FCFF4">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Times New Roman" w:hAnsi="Times New Roman" w:cs="Times New Roman"/>
          <w:color w:val="auto"/>
        </w:rPr>
      </w:pPr>
      <w:r>
        <w:rPr>
          <w:rFonts w:hint="default" w:ascii="Times New Roman" w:hAnsi="Times New Roman" w:cs="Times New Roman"/>
          <w:color w:val="auto"/>
        </w:rPr>
        <w:t>为深入贯彻省</w:t>
      </w:r>
      <w:r>
        <w:rPr>
          <w:rFonts w:hint="eastAsia" w:ascii="Times New Roman" w:hAnsi="Times New Roman" w:cs="Times New Roman"/>
          <w:color w:val="auto"/>
          <w:lang w:eastAsia="zh-CN"/>
        </w:rPr>
        <w:t>、市、</w:t>
      </w:r>
      <w:r>
        <w:rPr>
          <w:rFonts w:hint="eastAsia" w:ascii="Times New Roman" w:hAnsi="Times New Roman" w:cs="Times New Roman"/>
          <w:color w:val="auto"/>
          <w:lang w:val="en-US" w:eastAsia="zh-CN"/>
        </w:rPr>
        <w:t>区</w:t>
      </w:r>
      <w:r>
        <w:rPr>
          <w:rFonts w:hint="default" w:ascii="Times New Roman" w:hAnsi="Times New Roman" w:cs="Times New Roman"/>
          <w:color w:val="auto"/>
        </w:rPr>
        <w:t>优化营商环境大会精神，认真落实各级党委、政府对优化营商环境工作部署，以控制成本为核心，</w:t>
      </w:r>
      <w:r>
        <w:rPr>
          <w:rFonts w:hint="eastAsia" w:ascii="Times New Roman" w:hAnsi="Times New Roman" w:cs="Times New Roman"/>
          <w:color w:val="auto"/>
          <w:lang w:val="en-US" w:eastAsia="zh-CN"/>
        </w:rPr>
        <w:t>围绕“七大环境”，聚焦市场主体关切的痛点堵点难点问题，推动我区营商环境持续优化，</w:t>
      </w:r>
      <w:r>
        <w:rPr>
          <w:rFonts w:hint="eastAsia" w:ascii="Times New Roman" w:hAnsi="Times New Roman" w:cs="Times New Roman"/>
          <w:color w:val="auto"/>
          <w:lang w:eastAsia="zh-CN"/>
        </w:rPr>
        <w:t>结合</w:t>
      </w:r>
      <w:r>
        <w:rPr>
          <w:rFonts w:hint="eastAsia" w:ascii="Times New Roman" w:hAnsi="Times New Roman" w:cs="Times New Roman"/>
          <w:color w:val="auto"/>
          <w:lang w:val="en-US" w:eastAsia="zh-CN"/>
        </w:rPr>
        <w:t>曾都区</w:t>
      </w:r>
      <w:r>
        <w:rPr>
          <w:rFonts w:hint="eastAsia" w:ascii="Times New Roman" w:hAnsi="Times New Roman" w:cs="Times New Roman"/>
          <w:color w:val="auto"/>
          <w:lang w:eastAsia="zh-CN"/>
        </w:rPr>
        <w:t>经济社会发展实际，特</w:t>
      </w:r>
      <w:r>
        <w:rPr>
          <w:rFonts w:hint="default" w:ascii="Times New Roman" w:hAnsi="Times New Roman" w:cs="Times New Roman"/>
          <w:color w:val="auto"/>
        </w:rPr>
        <w:t>制定本方案。</w:t>
      </w:r>
    </w:p>
    <w:p w14:paraId="2E392CAF">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eastAsia" w:ascii="黑体" w:hAnsi="黑体" w:eastAsia="黑体" w:cs="黑体"/>
          <w:color w:val="auto"/>
        </w:rPr>
      </w:pPr>
      <w:r>
        <w:rPr>
          <w:rFonts w:hint="eastAsia" w:ascii="黑体" w:hAnsi="黑体" w:eastAsia="黑体" w:cs="黑体"/>
          <w:color w:val="auto"/>
        </w:rPr>
        <w:t>一、便利准入经营</w:t>
      </w:r>
    </w:p>
    <w:p w14:paraId="0EF51CAC">
      <w:pPr>
        <w:keepNext w:val="0"/>
        <w:keepLines w:val="0"/>
        <w:pageBreakBefore w:val="0"/>
        <w:widowControl w:val="0"/>
        <w:numPr>
          <w:ilvl w:val="0"/>
          <w:numId w:val="0"/>
        </w:numPr>
        <w:shd w:val="clear"/>
        <w:kinsoku/>
        <w:wordWrap/>
        <w:overflowPunct/>
        <w:topLinePunct w:val="0"/>
        <w:autoSpaceDE/>
        <w:autoSpaceDN/>
        <w:bidi w:val="0"/>
        <w:adjustRightInd/>
        <w:snapToGrid/>
        <w:spacing w:line="580" w:lineRule="exact"/>
        <w:ind w:firstLine="624"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1</w:t>
      </w:r>
      <w:r>
        <w:rPr>
          <w:rFonts w:hint="default" w:ascii="Times New Roman" w:hAnsi="Times New Roman" w:cs="Times New Roman"/>
          <w:color w:val="auto"/>
          <w:shd w:val="clear"/>
        </w:rPr>
        <w:t>.动态调整</w:t>
      </w:r>
      <w:r>
        <w:rPr>
          <w:rFonts w:hint="eastAsia" w:ascii="Times New Roman" w:hAnsi="Times New Roman" w:cs="Times New Roman"/>
          <w:color w:val="auto"/>
          <w:shd w:val="clear"/>
          <w:lang w:eastAsia="zh-CN"/>
        </w:rPr>
        <w:t>“</w:t>
      </w:r>
      <w:r>
        <w:rPr>
          <w:rFonts w:hint="default" w:ascii="Times New Roman" w:hAnsi="Times New Roman" w:cs="Times New Roman"/>
          <w:color w:val="auto"/>
          <w:shd w:val="clear"/>
        </w:rPr>
        <w:t>一业一证</w:t>
      </w:r>
      <w:r>
        <w:rPr>
          <w:rFonts w:hint="eastAsia" w:ascii="Times New Roman" w:hAnsi="Times New Roman" w:cs="Times New Roman"/>
          <w:color w:val="auto"/>
          <w:shd w:val="clear"/>
          <w:lang w:eastAsia="zh-CN"/>
        </w:rPr>
        <w:t>”</w:t>
      </w:r>
      <w:r>
        <w:rPr>
          <w:rFonts w:hint="default" w:ascii="Times New Roman" w:hAnsi="Times New Roman" w:cs="Times New Roman"/>
          <w:color w:val="auto"/>
          <w:shd w:val="clear"/>
        </w:rPr>
        <w:t>改革行业目录，将改革行业从19个拓展至</w:t>
      </w:r>
      <w:r>
        <w:rPr>
          <w:rFonts w:hint="eastAsia" w:ascii="Times New Roman" w:hAnsi="Times New Roman" w:cs="Times New Roman"/>
          <w:color w:val="auto"/>
          <w:shd w:val="clear"/>
          <w:lang w:val="en-US" w:eastAsia="zh-CN"/>
        </w:rPr>
        <w:t>35</w:t>
      </w:r>
      <w:r>
        <w:rPr>
          <w:rFonts w:hint="default" w:ascii="Times New Roman" w:hAnsi="Times New Roman" w:cs="Times New Roman"/>
          <w:color w:val="auto"/>
          <w:shd w:val="clear"/>
        </w:rPr>
        <w:t>个</w:t>
      </w:r>
      <w:r>
        <w:rPr>
          <w:rFonts w:hint="eastAsia" w:ascii="Times New Roman" w:hAnsi="Times New Roman" w:cs="Times New Roman"/>
          <w:color w:val="auto"/>
          <w:shd w:val="clear"/>
          <w:lang w:val="en-US" w:eastAsia="zh-CN"/>
        </w:rPr>
        <w:t>以上</w:t>
      </w:r>
      <w:r>
        <w:rPr>
          <w:rFonts w:hint="eastAsia" w:ascii="Times New Roman" w:hAnsi="Times New Roman" w:cs="Times New Roman"/>
          <w:color w:val="auto"/>
          <w:shd w:val="clear"/>
          <w:lang w:eastAsia="zh-CN"/>
        </w:rPr>
        <w:t>，</w:t>
      </w:r>
      <w:r>
        <w:rPr>
          <w:rFonts w:hint="eastAsia" w:ascii="仿宋" w:hAnsi="仿宋" w:eastAsia="仿宋" w:cs="仿宋"/>
          <w:color w:val="auto"/>
          <w:sz w:val="32"/>
          <w:szCs w:val="32"/>
          <w:lang w:val="en-US" w:eastAsia="zh-CN"/>
        </w:rPr>
        <w:t>通过线下设置服务专窗，线上搭建平台，实现跨部门、跨层级的高效联动和集成服务</w:t>
      </w:r>
      <w:r>
        <w:rPr>
          <w:rFonts w:hint="default" w:ascii="Times New Roman" w:hAnsi="Times New Roman" w:cs="Times New Roman"/>
          <w:color w:val="auto"/>
          <w:shd w:val="clear"/>
        </w:rPr>
        <w:t>。</w:t>
      </w:r>
      <w:r>
        <w:rPr>
          <w:rFonts w:hint="default" w:ascii="Times New Roman" w:hAnsi="Times New Roman" w:cs="Times New Roman"/>
          <w:color w:val="auto"/>
        </w:rPr>
        <w:t>将银行预约开户纳入企业开办服务范围</w:t>
      </w:r>
      <w:r>
        <w:rPr>
          <w:rFonts w:hint="eastAsia" w:ascii="Times New Roman" w:hAnsi="Times New Roman" w:cs="Times New Roman"/>
          <w:color w:val="auto"/>
          <w:lang w:eastAsia="zh-CN"/>
        </w:rPr>
        <w:t>，</w:t>
      </w:r>
      <w:r>
        <w:rPr>
          <w:rFonts w:hint="eastAsia" w:ascii="仿宋" w:hAnsi="仿宋" w:eastAsia="仿宋" w:cs="仿宋"/>
          <w:color w:val="auto"/>
          <w:sz w:val="32"/>
          <w:szCs w:val="32"/>
          <w:lang w:val="en-US" w:eastAsia="zh-CN"/>
        </w:rPr>
        <w:t>开展简易开户服务</w:t>
      </w:r>
      <w:r>
        <w:rPr>
          <w:rFonts w:hint="default" w:ascii="Times New Roman" w:hAnsi="Times New Roman" w:cs="Times New Roman"/>
          <w:color w:val="auto"/>
        </w:rPr>
        <w:t>。严格落实</w:t>
      </w:r>
      <w:r>
        <w:rPr>
          <w:rFonts w:hint="eastAsia" w:ascii="Times New Roman" w:hAnsi="Times New Roman" w:cs="Times New Roman"/>
          <w:color w:val="auto"/>
          <w:lang w:eastAsia="zh-CN"/>
        </w:rPr>
        <w:t>“</w:t>
      </w:r>
      <w:r>
        <w:rPr>
          <w:rFonts w:hint="default" w:ascii="Times New Roman" w:hAnsi="Times New Roman" w:cs="Times New Roman"/>
          <w:color w:val="auto"/>
        </w:rPr>
        <w:t>证照分离</w:t>
      </w:r>
      <w:r>
        <w:rPr>
          <w:rFonts w:hint="eastAsia" w:ascii="Times New Roman" w:hAnsi="Times New Roman" w:cs="Times New Roman"/>
          <w:color w:val="auto"/>
          <w:lang w:eastAsia="zh-CN"/>
        </w:rPr>
        <w:t>”</w:t>
      </w:r>
      <w:r>
        <w:rPr>
          <w:rFonts w:hint="default" w:ascii="Times New Roman" w:hAnsi="Times New Roman" w:cs="Times New Roman"/>
          <w:color w:val="auto"/>
        </w:rPr>
        <w:t>改革要求，不得通过备案等方式实施变相前置审批。</w:t>
      </w:r>
      <w:r>
        <w:rPr>
          <w:rFonts w:hint="eastAsia" w:ascii="楷体_GB2312" w:hAnsi="楷体_GB2312" w:eastAsia="楷体_GB2312" w:cs="楷体_GB2312"/>
          <w:color w:val="auto"/>
        </w:rPr>
        <w:t>(牵头单位：</w:t>
      </w:r>
      <w:r>
        <w:rPr>
          <w:rFonts w:hint="eastAsia" w:ascii="楷体_GB2312" w:hAnsi="楷体_GB2312" w:eastAsia="楷体_GB2312" w:cs="楷体_GB2312"/>
          <w:color w:val="auto"/>
          <w:lang w:eastAsia="zh-CN"/>
        </w:rPr>
        <w:t>区市场监管局、区政数局、区司法局</w:t>
      </w:r>
      <w:r>
        <w:rPr>
          <w:rFonts w:hint="eastAsia" w:ascii="楷体_GB2312" w:hAnsi="楷体_GB2312" w:eastAsia="楷体_GB2312" w:cs="楷体_GB2312"/>
          <w:color w:val="auto"/>
        </w:rPr>
        <w:t>；责任单位：</w:t>
      </w:r>
      <w:r>
        <w:rPr>
          <w:rFonts w:hint="eastAsia" w:ascii="楷体_GB2312" w:hAnsi="楷体_GB2312" w:eastAsia="楷体_GB2312" w:cs="楷体_GB2312"/>
          <w:color w:val="auto"/>
          <w:lang w:eastAsia="zh-CN"/>
        </w:rPr>
        <w:t>区直有关</w:t>
      </w:r>
      <w:r>
        <w:rPr>
          <w:rFonts w:hint="eastAsia" w:ascii="楷体_GB2312" w:hAnsi="楷体_GB2312" w:eastAsia="楷体_GB2312" w:cs="楷体_GB2312"/>
          <w:color w:val="auto"/>
          <w:lang w:val="en-US" w:eastAsia="zh-CN"/>
        </w:rPr>
        <w:t>部门</w:t>
      </w:r>
      <w:r>
        <w:rPr>
          <w:rFonts w:hint="eastAsia" w:ascii="楷体_GB2312" w:hAnsi="楷体_GB2312" w:eastAsia="楷体_GB2312" w:cs="楷体_GB2312"/>
          <w:color w:val="auto"/>
        </w:rPr>
        <w:t>)</w:t>
      </w:r>
    </w:p>
    <w:p w14:paraId="19F83C95">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2.深入推进工程建设领域</w:t>
      </w:r>
      <w:r>
        <w:rPr>
          <w:rFonts w:hint="eastAsia" w:ascii="Times New Roman" w:hAnsi="Times New Roman" w:cs="Times New Roman"/>
          <w:color w:val="auto"/>
          <w:lang w:eastAsia="zh-CN"/>
        </w:rPr>
        <w:t>“</w:t>
      </w:r>
      <w:r>
        <w:rPr>
          <w:rFonts w:hint="default" w:ascii="Times New Roman" w:hAnsi="Times New Roman" w:cs="Times New Roman"/>
          <w:color w:val="auto"/>
        </w:rPr>
        <w:t>六多合一</w:t>
      </w:r>
      <w:r>
        <w:rPr>
          <w:rFonts w:hint="eastAsia" w:ascii="Times New Roman" w:hAnsi="Times New Roman" w:cs="Times New Roman"/>
          <w:color w:val="auto"/>
          <w:lang w:eastAsia="zh-CN"/>
        </w:rPr>
        <w:t>”</w:t>
      </w:r>
      <w:r>
        <w:rPr>
          <w:rFonts w:hint="default" w:ascii="Times New Roman" w:hAnsi="Times New Roman" w:cs="Times New Roman"/>
          <w:color w:val="auto"/>
        </w:rPr>
        <w:t>改革，将小型低风险工业项目办理建筑许可环节从12个精简为10个以内。社会投资项目只需在发改部门进行备案，1000万以下的政府投资项目合并审批项目建议书、可行性研究报告和初步设计。</w:t>
      </w:r>
      <w:r>
        <w:rPr>
          <w:rFonts w:hint="eastAsia" w:ascii="Times New Roman" w:hAnsi="Times New Roman" w:cs="Times New Roman"/>
          <w:color w:val="auto"/>
          <w:lang w:val="en-US" w:eastAsia="zh-CN"/>
        </w:rPr>
        <w:t>落实</w:t>
      </w:r>
      <w:r>
        <w:rPr>
          <w:rFonts w:hint="default" w:ascii="Times New Roman" w:hAnsi="Times New Roman" w:cs="Times New Roman"/>
          <w:color w:val="auto"/>
        </w:rPr>
        <w:t>《关于规范城市基础设施配套费减免的通知》</w:t>
      </w:r>
      <w:r>
        <w:rPr>
          <w:rFonts w:hint="eastAsia" w:ascii="Times New Roman" w:hAnsi="Times New Roman" w:cs="Times New Roman"/>
          <w:color w:val="auto"/>
          <w:lang w:eastAsia="zh-CN"/>
        </w:rPr>
        <w:t>，</w:t>
      </w:r>
      <w:r>
        <w:rPr>
          <w:rFonts w:hint="default" w:ascii="Times New Roman" w:hAnsi="Times New Roman" w:cs="Times New Roman"/>
          <w:color w:val="auto"/>
        </w:rPr>
        <w:t>全面取消涉企小型低风险工业项目基础设施配套费。</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区住建局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区自然资源局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区发改局</w:t>
      </w:r>
      <w:r>
        <w:rPr>
          <w:rFonts w:hint="default" w:ascii="楷体_GB2312" w:hAnsi="楷体_GB2312" w:eastAsia="楷体_GB2312" w:cs="楷体_GB2312"/>
          <w:color w:val="auto"/>
        </w:rPr>
        <w:t>)</w:t>
      </w:r>
    </w:p>
    <w:p w14:paraId="0D2A6F12">
      <w:pPr>
        <w:keepNext w:val="0"/>
        <w:keepLines w:val="0"/>
        <w:pageBreakBefore w:val="0"/>
        <w:widowControl w:val="0"/>
        <w:numPr>
          <w:ilvl w:val="0"/>
          <w:numId w:val="0"/>
        </w:numPr>
        <w:shd w:val="clear"/>
        <w:kinsoku/>
        <w:wordWrap/>
        <w:overflowPunct/>
        <w:topLinePunct w:val="0"/>
        <w:autoSpaceDE/>
        <w:autoSpaceDN/>
        <w:bidi w:val="0"/>
        <w:adjustRightInd/>
        <w:snapToGrid/>
        <w:spacing w:line="580" w:lineRule="exact"/>
        <w:ind w:firstLine="624" w:firstLineChars="200"/>
        <w:jc w:val="both"/>
        <w:textAlignment w:val="auto"/>
        <w:rPr>
          <w:rFonts w:hint="default" w:ascii="楷体_GB2312" w:hAnsi="楷体_GB2312" w:eastAsia="楷体_GB2312" w:cs="楷体_GB2312"/>
          <w:color w:val="auto"/>
        </w:rPr>
      </w:pPr>
      <w:r>
        <w:rPr>
          <w:rFonts w:hint="default" w:ascii="Times New Roman" w:hAnsi="Times New Roman" w:cs="Times New Roman"/>
          <w:color w:val="auto"/>
        </w:rPr>
        <w:t>3.大力推广</w:t>
      </w:r>
      <w:r>
        <w:rPr>
          <w:rFonts w:hint="eastAsia" w:ascii="Times New Roman" w:hAnsi="Times New Roman" w:cs="Times New Roman"/>
          <w:color w:val="auto"/>
          <w:lang w:eastAsia="zh-CN"/>
        </w:rPr>
        <w:t>“</w:t>
      </w:r>
      <w:r>
        <w:rPr>
          <w:rFonts w:hint="default" w:ascii="Times New Roman" w:hAnsi="Times New Roman" w:cs="Times New Roman"/>
          <w:color w:val="auto"/>
        </w:rPr>
        <w:t>评定分离</w:t>
      </w:r>
      <w:r>
        <w:rPr>
          <w:rFonts w:hint="eastAsia" w:ascii="Times New Roman" w:hAnsi="Times New Roman" w:cs="Times New Roman"/>
          <w:color w:val="auto"/>
          <w:lang w:eastAsia="zh-CN"/>
        </w:rPr>
        <w:t>”</w:t>
      </w:r>
      <w:r>
        <w:rPr>
          <w:rFonts w:hint="default" w:ascii="Times New Roman" w:hAnsi="Times New Roman" w:cs="Times New Roman"/>
          <w:color w:val="auto"/>
        </w:rPr>
        <w:t>改革，</w:t>
      </w:r>
      <w:r>
        <w:rPr>
          <w:rFonts w:hint="eastAsia" w:ascii="仿宋_GB2312" w:hAnsi="仿宋_GB2312" w:cs="仿宋_GB2312"/>
          <w:b w:val="0"/>
          <w:bCs w:val="0"/>
          <w:color w:val="auto"/>
          <w:kern w:val="2"/>
          <w:sz w:val="32"/>
          <w:szCs w:val="32"/>
          <w:lang w:val="en-US" w:eastAsia="zh-CN" w:bidi="ar-SA"/>
        </w:rPr>
        <w:t>扩展</w:t>
      </w:r>
      <w:r>
        <w:rPr>
          <w:rFonts w:hint="eastAsia" w:ascii="仿宋_GB2312" w:hAnsi="仿宋_GB2312" w:eastAsia="仿宋_GB2312" w:cs="仿宋_GB2312"/>
          <w:b w:val="0"/>
          <w:bCs w:val="0"/>
          <w:color w:val="auto"/>
          <w:kern w:val="2"/>
          <w:sz w:val="32"/>
          <w:szCs w:val="32"/>
          <w:lang w:val="en-US" w:eastAsia="zh-CN" w:bidi="ar-SA"/>
        </w:rPr>
        <w:t>信用评价在定标环节的应用场景，引导投标人不断强化企业信用建设，积极稳妥逐步扩大</w:t>
      </w:r>
      <w:r>
        <w:rPr>
          <w:rFonts w:hint="eastAsia" w:ascii="仿宋_GB2312" w:hAnsi="仿宋_GB2312" w:cs="仿宋_GB2312"/>
          <w:b w:val="0"/>
          <w:bCs w:val="0"/>
          <w:color w:val="auto"/>
          <w:kern w:val="2"/>
          <w:sz w:val="32"/>
          <w:szCs w:val="32"/>
          <w:lang w:val="en-US" w:eastAsia="zh-CN" w:bidi="ar-SA"/>
        </w:rPr>
        <w:t>“</w:t>
      </w:r>
      <w:r>
        <w:rPr>
          <w:rFonts w:hint="eastAsia" w:ascii="仿宋_GB2312" w:hAnsi="仿宋_GB2312" w:eastAsia="仿宋_GB2312" w:cs="仿宋_GB2312"/>
          <w:b w:val="0"/>
          <w:bCs w:val="0"/>
          <w:color w:val="auto"/>
          <w:kern w:val="2"/>
          <w:sz w:val="32"/>
          <w:szCs w:val="32"/>
          <w:lang w:val="en-US" w:eastAsia="zh-CN" w:bidi="ar-SA"/>
        </w:rPr>
        <w:t>评定分离</w:t>
      </w:r>
      <w:r>
        <w:rPr>
          <w:rFonts w:hint="eastAsia" w:ascii="仿宋_GB2312" w:hAnsi="仿宋_GB2312" w:cs="仿宋_GB2312"/>
          <w:b w:val="0"/>
          <w:bCs w:val="0"/>
          <w:color w:val="auto"/>
          <w:kern w:val="2"/>
          <w:sz w:val="32"/>
          <w:szCs w:val="32"/>
          <w:lang w:val="en-US" w:eastAsia="zh-CN" w:bidi="ar-SA"/>
        </w:rPr>
        <w:t>”</w:t>
      </w:r>
      <w:r>
        <w:rPr>
          <w:rFonts w:hint="eastAsia" w:ascii="仿宋_GB2312" w:hAnsi="仿宋_GB2312" w:eastAsia="仿宋_GB2312" w:cs="仿宋_GB2312"/>
          <w:b w:val="0"/>
          <w:bCs w:val="0"/>
          <w:color w:val="auto"/>
          <w:kern w:val="2"/>
          <w:sz w:val="32"/>
          <w:szCs w:val="32"/>
          <w:lang w:val="en-US" w:eastAsia="zh-CN" w:bidi="ar-SA"/>
        </w:rPr>
        <w:t>项目实施范围。</w:t>
      </w:r>
      <w:r>
        <w:rPr>
          <w:rFonts w:hint="default" w:ascii="Times New Roman" w:hAnsi="Times New Roman" w:cs="Times New Roman"/>
          <w:color w:val="auto"/>
        </w:rPr>
        <w:t>破解</w:t>
      </w:r>
      <w:r>
        <w:rPr>
          <w:rFonts w:hint="eastAsia" w:ascii="Times New Roman" w:hAnsi="Times New Roman" w:cs="Times New Roman"/>
          <w:color w:val="auto"/>
          <w:lang w:eastAsia="zh-CN"/>
        </w:rPr>
        <w:t>“</w:t>
      </w:r>
      <w:r>
        <w:rPr>
          <w:rFonts w:hint="default" w:ascii="Times New Roman" w:hAnsi="Times New Roman" w:cs="Times New Roman"/>
          <w:color w:val="auto"/>
        </w:rPr>
        <w:t>抱团</w:t>
      </w:r>
      <w:r>
        <w:rPr>
          <w:rFonts w:hint="eastAsia" w:ascii="Times New Roman" w:hAnsi="Times New Roman" w:cs="Times New Roman"/>
          <w:color w:val="auto"/>
          <w:lang w:eastAsia="zh-CN"/>
        </w:rPr>
        <w:t>”</w:t>
      </w:r>
      <w:r>
        <w:rPr>
          <w:rFonts w:hint="default" w:ascii="Times New Roman" w:hAnsi="Times New Roman" w:cs="Times New Roman"/>
          <w:color w:val="auto"/>
        </w:rPr>
        <w:t>围标治理难题。推动远程异地评标常态化，推行全流程电子化招标投标</w:t>
      </w:r>
      <w:r>
        <w:rPr>
          <w:rFonts w:hint="eastAsia" w:ascii="Times New Roman" w:hAnsi="Times New Roman" w:cs="Times New Roman"/>
          <w:color w:val="auto"/>
          <w:lang w:eastAsia="zh-CN"/>
        </w:rPr>
        <w:t>，</w:t>
      </w:r>
      <w:r>
        <w:rPr>
          <w:rFonts w:hint="eastAsia" w:ascii="仿宋_GB2312" w:hAnsi="仿宋_GB2312" w:eastAsia="仿宋_GB2312" w:cs="仿宋_GB2312"/>
          <w:b w:val="0"/>
          <w:bCs w:val="0"/>
          <w:color w:val="auto"/>
          <w:kern w:val="2"/>
          <w:sz w:val="32"/>
          <w:szCs w:val="32"/>
          <w:lang w:val="en-US" w:eastAsia="zh-CN" w:bidi="ar-SA"/>
        </w:rPr>
        <w:t>依托云平台实现合同签订和变更网上办理、工程款支付网上查询等功能</w:t>
      </w:r>
      <w:r>
        <w:rPr>
          <w:rFonts w:hint="default" w:ascii="Times New Roman" w:hAnsi="Times New Roman" w:cs="Times New Roman"/>
          <w:color w:val="auto"/>
        </w:rPr>
        <w:t>。</w:t>
      </w:r>
      <w:r>
        <w:rPr>
          <w:rFonts w:hint="eastAsia" w:ascii="楷体_GB2312" w:hAnsi="楷体_GB2312" w:eastAsia="楷体_GB2312" w:cs="楷体_GB2312"/>
          <w:color w:val="auto"/>
          <w:lang w:eastAsia="zh-CN"/>
        </w:rPr>
        <w:t>（</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区政数局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w:t>
      </w:r>
      <w:r>
        <w:rPr>
          <w:rFonts w:hint="eastAsia" w:ascii="楷体_GB2312" w:hAnsi="楷体_GB2312" w:eastAsia="楷体_GB2312" w:cs="楷体_GB2312"/>
          <w:color w:val="auto"/>
          <w:lang w:val="en-US" w:eastAsia="zh-CN"/>
        </w:rPr>
        <w:t>区公共资源交易管理委员会成员单位）</w:t>
      </w:r>
    </w:p>
    <w:p w14:paraId="1E5BE9D7">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黑体" w:hAnsi="黑体" w:eastAsia="黑体" w:cs="黑体"/>
          <w:color w:val="auto"/>
        </w:rPr>
      </w:pPr>
      <w:r>
        <w:rPr>
          <w:rFonts w:hint="default" w:ascii="黑体" w:hAnsi="黑体" w:eastAsia="黑体" w:cs="黑体"/>
          <w:color w:val="auto"/>
        </w:rPr>
        <w:t>二、便利政策兑现</w:t>
      </w:r>
    </w:p>
    <w:p w14:paraId="33B834CD">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4.全面推行惠企政策精准直达机制，依托现有资源整合建设政务服务平台惠</w:t>
      </w:r>
      <w:r>
        <w:rPr>
          <w:rFonts w:hint="default" w:ascii="Times New Roman" w:hAnsi="Times New Roman" w:cs="Times New Roman"/>
          <w:color w:val="auto"/>
          <w:shd w:val="clear"/>
        </w:rPr>
        <w:t>企政策专区。</w:t>
      </w:r>
      <w:r>
        <w:rPr>
          <w:rFonts w:hint="eastAsia" w:ascii="Times New Roman" w:hAnsi="Times New Roman" w:cs="Times New Roman"/>
          <w:color w:val="auto"/>
          <w:shd w:val="clear"/>
          <w:lang w:val="en-US" w:eastAsia="zh-CN"/>
        </w:rPr>
        <w:t>应用省、市惠企政策直达快享平台</w:t>
      </w:r>
      <w:r>
        <w:rPr>
          <w:rFonts w:hint="default" w:ascii="Times New Roman" w:hAnsi="Times New Roman" w:cs="Times New Roman"/>
          <w:color w:val="auto"/>
          <w:shd w:val="clear"/>
        </w:rPr>
        <w:t>，推动惠企政策智能匹配、快速兑现。依托现有综合咨询、办事窗口，设立惠企政策集中办理窗口，</w:t>
      </w:r>
      <w:r>
        <w:rPr>
          <w:rFonts w:hint="eastAsia" w:ascii="仿宋_GB2312" w:hAnsi="仿宋_GB2312" w:eastAsia="仿宋_GB2312" w:cs="仿宋_GB2312"/>
          <w:b w:val="0"/>
          <w:bCs w:val="0"/>
          <w:color w:val="auto"/>
          <w:sz w:val="32"/>
          <w:szCs w:val="32"/>
          <w:shd w:val="clear"/>
          <w:lang w:val="en-US" w:eastAsia="zh-CN"/>
        </w:rPr>
        <w:t>集中提供惠企政策咨询、绿色通道、帮办代办、申请受理等</w:t>
      </w:r>
      <w:r>
        <w:rPr>
          <w:rFonts w:hint="eastAsia" w:ascii="仿宋_GB2312" w:hAnsi="仿宋_GB2312" w:eastAsia="仿宋_GB2312" w:cs="仿宋_GB2312"/>
          <w:b w:val="0"/>
          <w:bCs w:val="0"/>
          <w:color w:val="auto"/>
          <w:sz w:val="32"/>
          <w:szCs w:val="32"/>
          <w:lang w:val="en-US" w:eastAsia="zh-CN"/>
        </w:rPr>
        <w:t>服务，推动相关政策落实落地</w:t>
      </w:r>
      <w:r>
        <w:rPr>
          <w:rFonts w:hint="default" w:ascii="Times New Roman" w:hAnsi="Times New Roman" w:cs="Times New Roman"/>
          <w:color w:val="auto"/>
        </w:rPr>
        <w:t>。</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区政数局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区财政局、</w:t>
      </w:r>
      <w:r>
        <w:rPr>
          <w:rFonts w:hint="eastAsia" w:ascii="楷体_GB2312" w:hAnsi="楷体_GB2312" w:eastAsia="楷体_GB2312" w:cs="楷体_GB2312"/>
          <w:color w:val="auto"/>
          <w:lang w:val="en-US" w:eastAsia="zh-CN"/>
        </w:rPr>
        <w:t>区科经局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区直有关</w:t>
      </w:r>
      <w:r>
        <w:rPr>
          <w:rFonts w:hint="eastAsia" w:ascii="楷体_GB2312" w:hAnsi="楷体_GB2312" w:eastAsia="楷体_GB2312" w:cs="楷体_GB2312"/>
          <w:color w:val="auto"/>
          <w:lang w:val="en-US" w:eastAsia="zh-CN"/>
        </w:rPr>
        <w:t>部门</w:t>
      </w:r>
      <w:r>
        <w:rPr>
          <w:rFonts w:hint="default" w:ascii="楷体_GB2312" w:hAnsi="楷体_GB2312" w:eastAsia="楷体_GB2312" w:cs="楷体_GB2312"/>
          <w:color w:val="auto"/>
        </w:rPr>
        <w:t>)</w:t>
      </w:r>
    </w:p>
    <w:p w14:paraId="1EAA09B7">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5.推行出口退税</w:t>
      </w:r>
      <w:r>
        <w:rPr>
          <w:rFonts w:hint="eastAsia" w:ascii="Times New Roman" w:hAnsi="Times New Roman" w:cs="Times New Roman"/>
          <w:color w:val="auto"/>
          <w:lang w:eastAsia="zh-CN"/>
        </w:rPr>
        <w:t>“</w:t>
      </w:r>
      <w:r>
        <w:rPr>
          <w:rFonts w:hint="default" w:ascii="Times New Roman" w:hAnsi="Times New Roman" w:cs="Times New Roman"/>
          <w:color w:val="auto"/>
        </w:rPr>
        <w:t>即出即退</w:t>
      </w:r>
      <w:r>
        <w:rPr>
          <w:rFonts w:hint="eastAsia" w:ascii="Times New Roman" w:hAnsi="Times New Roman" w:cs="Times New Roman"/>
          <w:color w:val="auto"/>
          <w:lang w:eastAsia="zh-CN"/>
        </w:rPr>
        <w:t>”，</w:t>
      </w:r>
      <w:r>
        <w:rPr>
          <w:rFonts w:hint="default" w:ascii="Times New Roman" w:hAnsi="Times New Roman" w:cs="Times New Roman"/>
          <w:color w:val="auto"/>
        </w:rPr>
        <w:t>宣传</w:t>
      </w:r>
      <w:r>
        <w:rPr>
          <w:rFonts w:hint="eastAsia" w:ascii="Times New Roman" w:hAnsi="Times New Roman" w:cs="Times New Roman"/>
          <w:color w:val="auto"/>
          <w:lang w:eastAsia="zh-CN"/>
        </w:rPr>
        <w:t>“</w:t>
      </w:r>
      <w:r>
        <w:rPr>
          <w:rFonts w:hint="default" w:ascii="Times New Roman" w:hAnsi="Times New Roman" w:cs="Times New Roman"/>
          <w:color w:val="auto"/>
        </w:rPr>
        <w:t>数智通</w:t>
      </w:r>
      <w:r>
        <w:rPr>
          <w:rFonts w:hint="eastAsia" w:ascii="Times New Roman" w:hAnsi="Times New Roman" w:cs="Times New Roman"/>
          <w:color w:val="auto"/>
          <w:lang w:eastAsia="zh-CN"/>
        </w:rPr>
        <w:t>”</w:t>
      </w:r>
      <w:r>
        <w:rPr>
          <w:rFonts w:hint="default" w:ascii="Times New Roman" w:hAnsi="Times New Roman" w:cs="Times New Roman"/>
          <w:color w:val="auto"/>
        </w:rPr>
        <w:t>出口退税备案单证网上管理平台，支持出口企业根据自身实际，灵活选择电子化或者纸质化的方式留存保管出口货物</w:t>
      </w:r>
      <w:r>
        <w:rPr>
          <w:rFonts w:hint="default" w:ascii="Times New Roman" w:hAnsi="Times New Roman" w:cs="Times New Roman"/>
          <w:color w:val="auto"/>
          <w:shd w:val="clear"/>
        </w:rPr>
        <w:t>提单等出口退税备案单证，提高单证收集整理效率</w:t>
      </w:r>
      <w:r>
        <w:rPr>
          <w:rFonts w:hint="eastAsia" w:ascii="Times New Roman" w:hAnsi="Times New Roman" w:cs="Times New Roman"/>
          <w:color w:val="auto"/>
          <w:shd w:val="clear"/>
          <w:lang w:eastAsia="zh-CN"/>
        </w:rPr>
        <w:t>。</w:t>
      </w:r>
      <w:r>
        <w:rPr>
          <w:rFonts w:hint="default" w:ascii="Times New Roman" w:hAnsi="Times New Roman" w:cs="Times New Roman"/>
          <w:color w:val="auto"/>
          <w:shd w:val="clear"/>
        </w:rPr>
        <w:t>将全</w:t>
      </w:r>
      <w:r>
        <w:rPr>
          <w:rFonts w:hint="eastAsia" w:ascii="Times New Roman" w:hAnsi="Times New Roman" w:cs="Times New Roman"/>
          <w:color w:val="auto"/>
          <w:shd w:val="clear"/>
          <w:lang w:val="en-US" w:eastAsia="zh-CN"/>
        </w:rPr>
        <w:t>区</w:t>
      </w:r>
      <w:r>
        <w:rPr>
          <w:rFonts w:hint="default" w:ascii="Times New Roman" w:hAnsi="Times New Roman" w:cs="Times New Roman"/>
          <w:color w:val="auto"/>
          <w:shd w:val="clear"/>
        </w:rPr>
        <w:t>正常出口退税平均办理时间压缩至</w:t>
      </w:r>
      <w:r>
        <w:rPr>
          <w:rFonts w:hint="eastAsia" w:ascii="Times New Roman" w:hAnsi="Times New Roman" w:cs="Times New Roman"/>
          <w:color w:val="auto"/>
          <w:shd w:val="clear"/>
          <w:lang w:val="en-US" w:eastAsia="zh-CN"/>
        </w:rPr>
        <w:t>5</w:t>
      </w:r>
      <w:r>
        <w:rPr>
          <w:rFonts w:hint="default" w:ascii="Times New Roman" w:hAnsi="Times New Roman" w:cs="Times New Roman"/>
          <w:color w:val="auto"/>
          <w:shd w:val="clear"/>
        </w:rPr>
        <w:t>个工作日</w:t>
      </w:r>
      <w:r>
        <w:rPr>
          <w:rFonts w:hint="eastAsia" w:ascii="Times New Roman" w:hAnsi="Times New Roman" w:cs="Times New Roman"/>
          <w:color w:val="auto"/>
          <w:shd w:val="clear"/>
          <w:lang w:eastAsia="zh-CN"/>
        </w:rPr>
        <w:t>之内，</w:t>
      </w:r>
      <w:r>
        <w:rPr>
          <w:rFonts w:hint="default" w:ascii="Times New Roman" w:hAnsi="Times New Roman" w:cs="Times New Roman"/>
          <w:color w:val="auto"/>
          <w:shd w:val="clear"/>
        </w:rPr>
        <w:t>一类、二类出口企业压缩至3个工作日之内。</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区税务局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val="en-US" w:eastAsia="zh-CN"/>
        </w:rPr>
        <w:t>区</w:t>
      </w:r>
      <w:r>
        <w:rPr>
          <w:rFonts w:hint="default" w:ascii="楷体_GB2312" w:hAnsi="楷体_GB2312" w:eastAsia="楷体_GB2312" w:cs="楷体_GB2312"/>
          <w:color w:val="auto"/>
        </w:rPr>
        <w:t>商务</w:t>
      </w:r>
      <w:r>
        <w:rPr>
          <w:rFonts w:hint="eastAsia" w:ascii="楷体_GB2312" w:hAnsi="楷体_GB2312" w:eastAsia="楷体_GB2312" w:cs="楷体_GB2312"/>
          <w:color w:val="auto"/>
          <w:lang w:eastAsia="zh-CN"/>
        </w:rPr>
        <w:t>局、各镇人民政府、街道办事处、管委会</w:t>
      </w:r>
      <w:r>
        <w:rPr>
          <w:rFonts w:hint="default" w:ascii="楷体_GB2312" w:hAnsi="楷体_GB2312" w:eastAsia="楷体_GB2312" w:cs="楷体_GB2312"/>
          <w:color w:val="auto"/>
        </w:rPr>
        <w:t>)</w:t>
      </w:r>
    </w:p>
    <w:p w14:paraId="2430828C">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shd w:val="clear"/>
        </w:rPr>
        <w:t>6.按规定落实阶段性降低失业保险、工伤保险费率政策延长执行期限要求，失业保险费率按1%执行，其中，单位费率0.7%</w:t>
      </w:r>
      <w:r>
        <w:rPr>
          <w:rFonts w:hint="eastAsia" w:ascii="Times New Roman" w:hAnsi="Times New Roman" w:cs="Times New Roman"/>
          <w:color w:val="auto"/>
          <w:shd w:val="clear"/>
          <w:lang w:eastAsia="zh-CN"/>
        </w:rPr>
        <w:t>，</w:t>
      </w:r>
      <w:r>
        <w:rPr>
          <w:rFonts w:hint="default" w:ascii="Times New Roman" w:hAnsi="Times New Roman" w:cs="Times New Roman"/>
          <w:color w:val="auto"/>
          <w:shd w:val="clear"/>
        </w:rPr>
        <w:t>个人费率0.3%。对2022年缓缴期间的社保费可延至2023年底前交清，补缴期间免收滞纳金。健全部门间信息共享机制，建立申请社保费缓缴信息台账，确保缓缴费款及时入库。</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区人社局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区税务局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区直有关</w:t>
      </w:r>
      <w:r>
        <w:rPr>
          <w:rFonts w:hint="eastAsia" w:ascii="楷体_GB2312" w:hAnsi="楷体_GB2312" w:eastAsia="楷体_GB2312" w:cs="楷体_GB2312"/>
          <w:color w:val="auto"/>
          <w:lang w:val="en-US" w:eastAsia="zh-CN"/>
        </w:rPr>
        <w:t>部门</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068B02C1">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黑体" w:hAnsi="黑体" w:eastAsia="黑体" w:cs="黑体"/>
          <w:color w:val="auto"/>
        </w:rPr>
      </w:pPr>
      <w:r>
        <w:rPr>
          <w:rFonts w:hint="default" w:ascii="黑体" w:hAnsi="黑体" w:eastAsia="黑体" w:cs="黑体"/>
          <w:color w:val="auto"/>
        </w:rPr>
        <w:t>三、降低中介成本</w:t>
      </w:r>
    </w:p>
    <w:p w14:paraId="32429FD7">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7.采取</w:t>
      </w:r>
      <w:r>
        <w:rPr>
          <w:rFonts w:hint="eastAsia" w:ascii="Times New Roman" w:hAnsi="Times New Roman" w:cs="Times New Roman"/>
          <w:color w:val="auto"/>
          <w:lang w:eastAsia="zh-CN"/>
        </w:rPr>
        <w:t>“</w:t>
      </w:r>
      <w:r>
        <w:rPr>
          <w:rFonts w:hint="default" w:ascii="Times New Roman" w:hAnsi="Times New Roman" w:cs="Times New Roman"/>
          <w:color w:val="auto"/>
        </w:rPr>
        <w:t>网上中介超市</w:t>
      </w:r>
      <w:r>
        <w:rPr>
          <w:rFonts w:hint="eastAsia" w:ascii="Times New Roman" w:hAnsi="Times New Roman" w:cs="Times New Roman"/>
          <w:color w:val="auto"/>
          <w:lang w:eastAsia="zh-CN"/>
        </w:rPr>
        <w:t>”</w:t>
      </w:r>
      <w:r>
        <w:rPr>
          <w:rFonts w:hint="default" w:ascii="Times New Roman" w:hAnsi="Times New Roman" w:cs="Times New Roman"/>
          <w:color w:val="auto"/>
        </w:rPr>
        <w:t>模式，引导中介机构入驻，由项目业主择</w:t>
      </w:r>
      <w:r>
        <w:rPr>
          <w:rFonts w:hint="default" w:ascii="Times New Roman" w:hAnsi="Times New Roman" w:cs="Times New Roman"/>
          <w:color w:val="auto"/>
          <w:shd w:val="clear"/>
        </w:rPr>
        <w:t>优选择，打破中介机构行业、区</w:t>
      </w:r>
      <w:r>
        <w:rPr>
          <w:rFonts w:hint="default" w:ascii="Times New Roman" w:hAnsi="Times New Roman" w:cs="Times New Roman"/>
          <w:color w:val="auto"/>
          <w:highlight w:val="none"/>
          <w:shd w:val="clear"/>
        </w:rPr>
        <w:t>域垄断。实现</w:t>
      </w:r>
      <w:r>
        <w:rPr>
          <w:rFonts w:hint="eastAsia" w:ascii="Times New Roman" w:hAnsi="Times New Roman" w:cs="Times New Roman"/>
          <w:color w:val="auto"/>
          <w:highlight w:val="none"/>
          <w:shd w:val="clear"/>
          <w:lang w:eastAsia="zh-CN"/>
        </w:rPr>
        <w:t>“</w:t>
      </w:r>
      <w:r>
        <w:rPr>
          <w:rFonts w:hint="default" w:ascii="Times New Roman" w:hAnsi="Times New Roman" w:cs="Times New Roman"/>
          <w:color w:val="auto"/>
          <w:highlight w:val="none"/>
          <w:shd w:val="clear"/>
        </w:rPr>
        <w:t>网上中介超市</w:t>
      </w:r>
      <w:r>
        <w:rPr>
          <w:rFonts w:hint="eastAsia" w:ascii="Times New Roman" w:hAnsi="Times New Roman" w:cs="Times New Roman"/>
          <w:color w:val="auto"/>
          <w:highlight w:val="none"/>
          <w:shd w:val="clear"/>
          <w:lang w:eastAsia="zh-CN"/>
        </w:rPr>
        <w:t>”</w:t>
      </w:r>
      <w:r>
        <w:rPr>
          <w:rFonts w:hint="default" w:ascii="Times New Roman" w:hAnsi="Times New Roman" w:cs="Times New Roman"/>
          <w:color w:val="auto"/>
          <w:highlight w:val="none"/>
          <w:shd w:val="clear"/>
        </w:rPr>
        <w:t>模式全</w:t>
      </w:r>
      <w:r>
        <w:rPr>
          <w:rFonts w:hint="eastAsia" w:ascii="Times New Roman" w:hAnsi="Times New Roman" w:cs="Times New Roman"/>
          <w:color w:val="auto"/>
          <w:highlight w:val="none"/>
          <w:shd w:val="clear"/>
          <w:lang w:val="en-US" w:eastAsia="zh-CN"/>
        </w:rPr>
        <w:t>区</w:t>
      </w:r>
      <w:r>
        <w:rPr>
          <w:rFonts w:hint="default" w:ascii="Times New Roman" w:hAnsi="Times New Roman" w:cs="Times New Roman"/>
          <w:color w:val="auto"/>
          <w:highlight w:val="none"/>
          <w:shd w:val="clear"/>
        </w:rPr>
        <w:t>覆盖率100%</w:t>
      </w:r>
      <w:r>
        <w:rPr>
          <w:rFonts w:hint="eastAsia" w:ascii="Times New Roman" w:hAnsi="Times New Roman" w:cs="Times New Roman"/>
          <w:color w:val="auto"/>
          <w:highlight w:val="none"/>
          <w:shd w:val="clear"/>
          <w:lang w:eastAsia="zh-CN"/>
        </w:rPr>
        <w:t>，</w:t>
      </w:r>
      <w:r>
        <w:rPr>
          <w:rFonts w:hint="eastAsia" w:ascii="Times New Roman" w:hAnsi="Times New Roman" w:cs="Times New Roman"/>
          <w:color w:val="auto"/>
          <w:shd w:val="clear"/>
          <w:lang w:val="en-US" w:eastAsia="zh-CN"/>
        </w:rPr>
        <w:t>曾都</w:t>
      </w:r>
      <w:r>
        <w:rPr>
          <w:rFonts w:hint="eastAsia" w:ascii="Times New Roman" w:hAnsi="Times New Roman" w:cs="Times New Roman"/>
          <w:color w:val="auto"/>
          <w:shd w:val="clear"/>
          <w:lang w:eastAsia="zh-CN"/>
        </w:rPr>
        <w:t>区“</w:t>
      </w:r>
      <w:r>
        <w:rPr>
          <w:rFonts w:hint="default" w:ascii="Times New Roman" w:hAnsi="Times New Roman" w:cs="Times New Roman"/>
          <w:color w:val="auto"/>
          <w:shd w:val="clear"/>
        </w:rPr>
        <w:t>网上中介超市</w:t>
      </w:r>
      <w:r>
        <w:rPr>
          <w:rFonts w:hint="eastAsia" w:ascii="Times New Roman" w:hAnsi="Times New Roman" w:cs="Times New Roman"/>
          <w:color w:val="auto"/>
          <w:shd w:val="clear"/>
          <w:lang w:eastAsia="zh-CN"/>
        </w:rPr>
        <w:t>”</w:t>
      </w:r>
      <w:r>
        <w:rPr>
          <w:rFonts w:hint="default" w:ascii="Times New Roman" w:hAnsi="Times New Roman" w:cs="Times New Roman"/>
          <w:color w:val="auto"/>
          <w:shd w:val="clear"/>
        </w:rPr>
        <w:t>入驻机构</w:t>
      </w:r>
      <w:r>
        <w:rPr>
          <w:rFonts w:hint="eastAsia" w:ascii="Times New Roman" w:hAnsi="Times New Roman" w:cs="Times New Roman"/>
          <w:color w:val="auto"/>
          <w:shd w:val="clear"/>
          <w:lang w:eastAsia="zh-CN"/>
        </w:rPr>
        <w:t>“应入尽入”</w:t>
      </w:r>
      <w:r>
        <w:rPr>
          <w:rFonts w:hint="default" w:ascii="Times New Roman" w:hAnsi="Times New Roman" w:cs="Times New Roman"/>
          <w:color w:val="auto"/>
          <w:shd w:val="clear"/>
        </w:rPr>
        <w:t>。</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区发改局</w:t>
      </w:r>
      <w:r>
        <w:rPr>
          <w:rFonts w:hint="eastAsia" w:ascii="楷体_GB2312" w:hAnsi="楷体_GB2312" w:eastAsia="楷体_GB2312" w:cs="楷体_GB2312"/>
          <w:color w:val="auto"/>
          <w:lang w:val="en-US" w:eastAsia="zh-CN"/>
        </w:rPr>
        <w:t>及各行业主管部门</w:t>
      </w:r>
      <w:r>
        <w:rPr>
          <w:rFonts w:hint="default" w:ascii="楷体_GB2312" w:hAnsi="楷体_GB2312" w:eastAsia="楷体_GB2312" w:cs="楷体_GB2312"/>
          <w:color w:val="auto"/>
        </w:rPr>
        <w:t>)</w:t>
      </w:r>
    </w:p>
    <w:p w14:paraId="44CB19FF">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8.推行政府</w:t>
      </w:r>
      <w:r>
        <w:rPr>
          <w:rFonts w:hint="eastAsia" w:ascii="Times New Roman" w:hAnsi="Times New Roman" w:cs="Times New Roman"/>
          <w:color w:val="auto"/>
          <w:lang w:eastAsia="zh-CN"/>
        </w:rPr>
        <w:t>“</w:t>
      </w:r>
      <w:r>
        <w:rPr>
          <w:rFonts w:hint="default" w:ascii="Times New Roman" w:hAnsi="Times New Roman" w:cs="Times New Roman"/>
          <w:color w:val="auto"/>
        </w:rPr>
        <w:t>集采</w:t>
      </w:r>
      <w:r>
        <w:rPr>
          <w:rFonts w:hint="eastAsia" w:ascii="Times New Roman" w:hAnsi="Times New Roman" w:cs="Times New Roman"/>
          <w:color w:val="auto"/>
          <w:lang w:eastAsia="zh-CN"/>
        </w:rPr>
        <w:t>”，</w:t>
      </w:r>
      <w:r>
        <w:rPr>
          <w:rFonts w:hint="default" w:ascii="Times New Roman" w:hAnsi="Times New Roman" w:cs="Times New Roman"/>
          <w:color w:val="auto"/>
        </w:rPr>
        <w:t>建立完善财政性资金购买中介服务事项清单、政府集中采购中介目录，通过政府集中采购等方式降低中介价格，严厉打击政府</w:t>
      </w:r>
      <w:r>
        <w:rPr>
          <w:rFonts w:hint="eastAsia" w:ascii="Times New Roman" w:hAnsi="Times New Roman" w:cs="Times New Roman"/>
          <w:color w:val="auto"/>
          <w:lang w:eastAsia="zh-CN"/>
        </w:rPr>
        <w:t>“</w:t>
      </w:r>
      <w:r>
        <w:rPr>
          <w:rFonts w:hint="default" w:ascii="Times New Roman" w:hAnsi="Times New Roman" w:cs="Times New Roman"/>
          <w:color w:val="auto"/>
        </w:rPr>
        <w:t>集采</w:t>
      </w:r>
      <w:r>
        <w:rPr>
          <w:rFonts w:hint="eastAsia" w:ascii="Times New Roman" w:hAnsi="Times New Roman" w:cs="Times New Roman"/>
          <w:color w:val="auto"/>
          <w:lang w:eastAsia="zh-CN"/>
        </w:rPr>
        <w:t>”</w:t>
      </w:r>
      <w:r>
        <w:rPr>
          <w:rFonts w:hint="default" w:ascii="Times New Roman" w:hAnsi="Times New Roman" w:cs="Times New Roman"/>
          <w:color w:val="auto"/>
        </w:rPr>
        <w:t>中的围标、串标、违规收费等行为。加强对中介服务机构收费监督检查，严格查处利用行政职能、垄断地位指定服务、强制服务等行为。</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区财政局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区发改局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区政数局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区市场监管局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区直有关</w:t>
      </w:r>
      <w:r>
        <w:rPr>
          <w:rFonts w:hint="eastAsia" w:ascii="楷体_GB2312" w:hAnsi="楷体_GB2312" w:eastAsia="楷体_GB2312" w:cs="楷体_GB2312"/>
          <w:color w:val="auto"/>
          <w:lang w:val="en-US" w:eastAsia="zh-CN"/>
        </w:rPr>
        <w:t>部门</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29008EDD">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黑体" w:hAnsi="黑体" w:eastAsia="黑体" w:cs="黑体"/>
          <w:color w:val="auto"/>
        </w:rPr>
      </w:pPr>
      <w:r>
        <w:rPr>
          <w:rFonts w:hint="default" w:ascii="黑体" w:hAnsi="黑体" w:eastAsia="黑体" w:cs="黑体"/>
          <w:color w:val="auto"/>
        </w:rPr>
        <w:t>四、降低用能成本</w:t>
      </w:r>
    </w:p>
    <w:p w14:paraId="571FA594">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9.强化迎峰度夏电力资源保供争取工作，</w:t>
      </w:r>
      <w:r>
        <w:rPr>
          <w:rFonts w:hint="eastAsia" w:ascii="Times New Roman" w:hAnsi="Times New Roman" w:cs="Times New Roman"/>
          <w:color w:val="auto"/>
          <w:lang w:val="en-US" w:eastAsia="zh-CN"/>
        </w:rPr>
        <w:t>落实</w:t>
      </w:r>
      <w:r>
        <w:rPr>
          <w:rFonts w:hint="default" w:ascii="Times New Roman" w:hAnsi="Times New Roman" w:cs="Times New Roman"/>
          <w:color w:val="auto"/>
        </w:rPr>
        <w:t>《随州市2023年迎峰度夏电</w:t>
      </w:r>
      <w:r>
        <w:rPr>
          <w:rFonts w:hint="default" w:ascii="Times New Roman" w:hAnsi="Times New Roman" w:cs="Times New Roman"/>
          <w:color w:val="auto"/>
          <w:shd w:val="clear"/>
        </w:rPr>
        <w:t>力需求侧响应工作方案》《随州市2023年度迎峰度夏电力负荷管理方案》等方案预案，深入推进全</w:t>
      </w:r>
      <w:r>
        <w:rPr>
          <w:rFonts w:hint="eastAsia" w:ascii="Times New Roman" w:hAnsi="Times New Roman" w:cs="Times New Roman"/>
          <w:color w:val="auto"/>
          <w:shd w:val="clear"/>
          <w:lang w:val="en-US" w:eastAsia="zh-CN"/>
        </w:rPr>
        <w:t>区</w:t>
      </w:r>
      <w:r>
        <w:rPr>
          <w:rFonts w:hint="default" w:ascii="Times New Roman" w:hAnsi="Times New Roman" w:cs="Times New Roman"/>
          <w:color w:val="auto"/>
          <w:shd w:val="clear"/>
        </w:rPr>
        <w:t>电力市场化交易改革。全面落实湖北省第三监管周期输配电价政策，对符合条件的两部制用户，需量电价按90%执行。积极开展季节性新能源竞价上网，优化新能源上网电价。</w:t>
      </w:r>
      <w:r>
        <w:rPr>
          <w:rFonts w:hint="eastAsia" w:ascii="Times New Roman" w:hAnsi="Times New Roman" w:cs="Times New Roman"/>
          <w:color w:val="auto"/>
          <w:shd w:val="clear"/>
          <w:lang w:eastAsia="zh-CN"/>
        </w:rPr>
        <w:t>确保</w:t>
      </w:r>
      <w:r>
        <w:rPr>
          <w:rFonts w:hint="eastAsia" w:ascii="Times New Roman" w:hAnsi="Times New Roman" w:cs="Times New Roman"/>
          <w:color w:val="auto"/>
          <w:shd w:val="clear"/>
          <w:lang w:val="en-US" w:eastAsia="zh-CN"/>
        </w:rPr>
        <w:t>2023年6-12月工商业平均到户电价比1-5月降低0.03元／千瓦时</w:t>
      </w:r>
      <w:r>
        <w:rPr>
          <w:rFonts w:hint="default" w:ascii="Times New Roman" w:hAnsi="Times New Roman" w:cs="Times New Roman"/>
          <w:color w:val="auto"/>
          <w:shd w:val="clear"/>
        </w:rPr>
        <w:t>。</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区发改局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区供电公司</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区直有关</w:t>
      </w:r>
      <w:r>
        <w:rPr>
          <w:rFonts w:hint="eastAsia" w:ascii="楷体_GB2312" w:hAnsi="楷体_GB2312" w:eastAsia="楷体_GB2312" w:cs="楷体_GB2312"/>
          <w:color w:val="auto"/>
          <w:lang w:val="en-US" w:eastAsia="zh-CN"/>
        </w:rPr>
        <w:t>部门</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7CF83507">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黑体" w:hAnsi="黑体" w:eastAsia="黑体" w:cs="黑体"/>
          <w:color w:val="auto"/>
        </w:rPr>
      </w:pPr>
      <w:r>
        <w:rPr>
          <w:rFonts w:hint="default" w:ascii="黑体" w:hAnsi="黑体" w:eastAsia="黑体" w:cs="黑体"/>
          <w:color w:val="auto"/>
        </w:rPr>
        <w:t>五、降低融资成本</w:t>
      </w:r>
    </w:p>
    <w:p w14:paraId="7F787B77">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1</w:t>
      </w:r>
      <w:r>
        <w:rPr>
          <w:rFonts w:hint="eastAsia" w:ascii="Times New Roman" w:hAnsi="Times New Roman" w:cs="Times New Roman"/>
          <w:color w:val="auto"/>
          <w:lang w:val="en-US" w:eastAsia="zh-CN"/>
        </w:rPr>
        <w:t>0</w:t>
      </w:r>
      <w:r>
        <w:rPr>
          <w:rFonts w:hint="default" w:ascii="Times New Roman" w:hAnsi="Times New Roman" w:cs="Times New Roman"/>
          <w:color w:val="auto"/>
        </w:rPr>
        <w:t>.</w:t>
      </w:r>
      <w:r>
        <w:rPr>
          <w:rFonts w:hint="eastAsia" w:ascii="仿宋_GB2312" w:hAnsi="黑体" w:eastAsia="仿宋_GB2312"/>
          <w:color w:val="auto"/>
          <w:sz w:val="32"/>
          <w:szCs w:val="32"/>
          <w:highlight w:val="none"/>
        </w:rPr>
        <w:t>实施</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金融链长制+主办行</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模式，</w:t>
      </w:r>
      <w:r>
        <w:rPr>
          <w:rFonts w:hint="eastAsia" w:ascii="仿宋_GB2312" w:hAnsi="仿宋_GB2312" w:eastAsia="仿宋_GB2312" w:cs="仿宋_GB2312"/>
          <w:color w:val="auto"/>
          <w:sz w:val="32"/>
          <w:szCs w:val="32"/>
          <w:highlight w:val="none"/>
          <w:lang w:val="en-US" w:eastAsia="zh-CN"/>
        </w:rPr>
        <w:t>链长银行成立专项服务团队，运用金融科技手段，构建以随州香菇产业链核心企业</w:t>
      </w:r>
      <w:r>
        <w:rPr>
          <w:rFonts w:hint="eastAsia" w:ascii="仿宋_GB2312" w:hAnsi="仿宋_GB2312" w:cs="仿宋_GB2312"/>
          <w:color w:val="auto"/>
          <w:sz w:val="32"/>
          <w:szCs w:val="32"/>
          <w:highlight w:val="none"/>
          <w:lang w:val="en-US" w:eastAsia="zh-CN"/>
        </w:rPr>
        <w:t>与</w:t>
      </w:r>
      <w:r>
        <w:rPr>
          <w:rFonts w:hint="eastAsia" w:ascii="仿宋_GB2312" w:hAnsi="仿宋_GB2312" w:eastAsia="仿宋_GB2312" w:cs="仿宋_GB2312"/>
          <w:color w:val="auto"/>
          <w:sz w:val="32"/>
          <w:szCs w:val="32"/>
          <w:highlight w:val="none"/>
          <w:lang w:val="en-US" w:eastAsia="zh-CN"/>
        </w:rPr>
        <w:t>上下游小微企业一体化综合金融服务方案</w:t>
      </w:r>
      <w:r>
        <w:rPr>
          <w:rFonts w:hint="eastAsia" w:ascii="仿宋_GB2312" w:hAnsi="仿宋_GB2312" w:cs="仿宋_GB2312"/>
          <w:color w:val="auto"/>
          <w:sz w:val="32"/>
          <w:szCs w:val="32"/>
          <w:highlight w:val="none"/>
          <w:lang w:val="en-US" w:eastAsia="zh-CN"/>
        </w:rPr>
        <w:t>。</w:t>
      </w:r>
      <w:r>
        <w:rPr>
          <w:rFonts w:hint="default" w:ascii="Times New Roman" w:hAnsi="Times New Roman" w:cs="Times New Roman"/>
          <w:color w:val="auto"/>
          <w:highlight w:val="none"/>
        </w:rPr>
        <w:t>推动银行机构差异化做好建档、评级、授信等工作</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推动金融机构通过仓单质押融资、应收账款融资、订单融资、预付款融资等方式加大中小微企业信贷支持</w:t>
      </w:r>
      <w:r>
        <w:rPr>
          <w:rFonts w:hint="default" w:ascii="Times New Roman" w:hAnsi="Times New Roman" w:cs="Times New Roman"/>
          <w:color w:val="auto"/>
        </w:rPr>
        <w:t>。</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val="en-US" w:eastAsia="zh-CN"/>
        </w:rPr>
        <w:t>区金融办</w:t>
      </w:r>
      <w:r>
        <w:rPr>
          <w:rFonts w:hint="default" w:ascii="楷体_GB2312" w:hAnsi="楷体_GB2312" w:eastAsia="楷体_GB2312" w:cs="楷体_GB2312"/>
          <w:color w:val="auto"/>
        </w:rPr>
        <w:t>)</w:t>
      </w:r>
    </w:p>
    <w:p w14:paraId="15E70E74">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lang w:val="en-US" w:eastAsia="zh-CN"/>
        </w:rPr>
      </w:pPr>
      <w:r>
        <w:rPr>
          <w:rFonts w:hint="eastAsia" w:ascii="Times New Roman" w:hAnsi="Times New Roman" w:cs="Times New Roman"/>
          <w:color w:val="auto"/>
          <w:lang w:val="en-US" w:eastAsia="zh-CN"/>
        </w:rPr>
        <w:t>11.</w:t>
      </w:r>
      <w:r>
        <w:rPr>
          <w:rFonts w:hint="default" w:ascii="Times New Roman" w:hAnsi="Times New Roman" w:eastAsia="仿宋_GB2312" w:cs="Times New Roman"/>
          <w:snapToGrid w:val="0"/>
          <w:color w:val="auto"/>
          <w:kern w:val="0"/>
          <w:sz w:val="32"/>
          <w:szCs w:val="21"/>
        </w:rPr>
        <w:t>进一步深化</w:t>
      </w:r>
      <w:r>
        <w:rPr>
          <w:rFonts w:hint="eastAsia" w:ascii="Times New Roman" w:hAnsi="Times New Roman" w:cs="Times New Roman"/>
          <w:snapToGrid w:val="0"/>
          <w:color w:val="auto"/>
          <w:kern w:val="0"/>
          <w:sz w:val="32"/>
          <w:szCs w:val="21"/>
          <w:lang w:eastAsia="zh-CN"/>
        </w:rPr>
        <w:t>“</w:t>
      </w:r>
      <w:r>
        <w:rPr>
          <w:rFonts w:hint="default" w:ascii="Times New Roman" w:hAnsi="Times New Roman" w:eastAsia="仿宋_GB2312" w:cs="Times New Roman"/>
          <w:snapToGrid w:val="0"/>
          <w:color w:val="auto"/>
          <w:kern w:val="0"/>
          <w:sz w:val="32"/>
          <w:szCs w:val="21"/>
        </w:rPr>
        <w:t>信用+民生</w:t>
      </w:r>
      <w:r>
        <w:rPr>
          <w:rFonts w:hint="eastAsia" w:ascii="Times New Roman" w:hAnsi="Times New Roman" w:cs="Times New Roman"/>
          <w:snapToGrid w:val="0"/>
          <w:color w:val="auto"/>
          <w:kern w:val="0"/>
          <w:sz w:val="32"/>
          <w:szCs w:val="21"/>
          <w:lang w:eastAsia="zh-CN"/>
        </w:rPr>
        <w:t>”</w:t>
      </w:r>
      <w:r>
        <w:rPr>
          <w:rFonts w:hint="default" w:ascii="Times New Roman" w:hAnsi="Times New Roman" w:eastAsia="仿宋_GB2312" w:cs="Times New Roman"/>
          <w:snapToGrid w:val="0"/>
          <w:color w:val="auto"/>
          <w:kern w:val="0"/>
          <w:sz w:val="32"/>
          <w:szCs w:val="21"/>
        </w:rPr>
        <w:t>发展理念，针对性开展后续信用培植辅导，逐步提高中小企业信用等级至</w:t>
      </w:r>
      <w:r>
        <w:rPr>
          <w:rFonts w:hint="eastAsia" w:ascii="Times New Roman" w:hAnsi="Times New Roman" w:eastAsia="仿宋_GB2312" w:cs="Times New Roman"/>
          <w:snapToGrid w:val="0"/>
          <w:color w:val="auto"/>
          <w:kern w:val="0"/>
          <w:sz w:val="32"/>
          <w:szCs w:val="21"/>
          <w:lang w:eastAsia="zh-CN"/>
        </w:rPr>
        <w:t>授</w:t>
      </w:r>
      <w:r>
        <w:rPr>
          <w:rFonts w:hint="default" w:ascii="Times New Roman" w:hAnsi="Times New Roman" w:eastAsia="仿宋_GB2312" w:cs="Times New Roman"/>
          <w:snapToGrid w:val="0"/>
          <w:color w:val="auto"/>
          <w:kern w:val="0"/>
          <w:sz w:val="32"/>
          <w:szCs w:val="21"/>
        </w:rPr>
        <w:t>信条件，有效提升首贷服务质效。建立健全政府部门主导、社会各界共同参与守信联合激励机制。持续优化和规范</w:t>
      </w:r>
      <w:r>
        <w:rPr>
          <w:rFonts w:hint="eastAsia" w:ascii="Times New Roman" w:hAnsi="Times New Roman" w:cs="Times New Roman"/>
          <w:snapToGrid w:val="0"/>
          <w:color w:val="auto"/>
          <w:kern w:val="0"/>
          <w:sz w:val="32"/>
          <w:szCs w:val="21"/>
          <w:lang w:eastAsia="zh-CN"/>
        </w:rPr>
        <w:t>“</w:t>
      </w:r>
      <w:r>
        <w:rPr>
          <w:rFonts w:hint="default" w:ascii="Times New Roman" w:hAnsi="Times New Roman" w:eastAsia="仿宋_GB2312" w:cs="Times New Roman"/>
          <w:snapToGrid w:val="0"/>
          <w:color w:val="auto"/>
          <w:kern w:val="0"/>
          <w:sz w:val="32"/>
          <w:szCs w:val="21"/>
        </w:rPr>
        <w:t>税银互动</w:t>
      </w:r>
      <w:r>
        <w:rPr>
          <w:rFonts w:hint="eastAsia" w:ascii="Times New Roman" w:hAnsi="Times New Roman" w:cs="Times New Roman"/>
          <w:snapToGrid w:val="0"/>
          <w:color w:val="auto"/>
          <w:kern w:val="0"/>
          <w:sz w:val="32"/>
          <w:szCs w:val="21"/>
          <w:lang w:eastAsia="zh-CN"/>
        </w:rPr>
        <w:t>”</w:t>
      </w:r>
      <w:r>
        <w:rPr>
          <w:rFonts w:hint="default" w:ascii="Times New Roman" w:hAnsi="Times New Roman" w:eastAsia="仿宋_GB2312" w:cs="Times New Roman"/>
          <w:snapToGrid w:val="0"/>
          <w:color w:val="auto"/>
          <w:kern w:val="0"/>
          <w:sz w:val="32"/>
          <w:szCs w:val="21"/>
        </w:rPr>
        <w:t>数据交换内容和交换方式，拓展签约金融机构</w:t>
      </w:r>
      <w:r>
        <w:rPr>
          <w:rFonts w:hint="eastAsia" w:ascii="Times New Roman" w:hAnsi="Times New Roman" w:eastAsia="仿宋_GB2312" w:cs="Times New Roman"/>
          <w:snapToGrid w:val="0"/>
          <w:color w:val="auto"/>
          <w:kern w:val="0"/>
          <w:sz w:val="32"/>
          <w:szCs w:val="21"/>
          <w:lang w:eastAsia="zh-CN"/>
        </w:rPr>
        <w:t>，达成</w:t>
      </w:r>
      <w:r>
        <w:rPr>
          <w:rFonts w:hint="eastAsia" w:ascii="Times New Roman" w:hAnsi="Times New Roman" w:cs="Times New Roman"/>
          <w:snapToGrid w:val="0"/>
          <w:color w:val="auto"/>
          <w:kern w:val="0"/>
          <w:sz w:val="32"/>
          <w:szCs w:val="21"/>
          <w:lang w:eastAsia="zh-CN"/>
        </w:rPr>
        <w:t>“</w:t>
      </w:r>
      <w:r>
        <w:rPr>
          <w:rFonts w:hint="default" w:ascii="Times New Roman" w:hAnsi="Times New Roman" w:eastAsia="仿宋_GB2312" w:cs="Times New Roman"/>
          <w:snapToGrid w:val="0"/>
          <w:color w:val="auto"/>
          <w:kern w:val="0"/>
          <w:sz w:val="32"/>
          <w:szCs w:val="21"/>
        </w:rPr>
        <w:t>纳税信用贷</w:t>
      </w:r>
      <w:r>
        <w:rPr>
          <w:rFonts w:hint="eastAsia" w:ascii="Times New Roman" w:hAnsi="Times New Roman" w:cs="Times New Roman"/>
          <w:snapToGrid w:val="0"/>
          <w:color w:val="auto"/>
          <w:kern w:val="0"/>
          <w:sz w:val="32"/>
          <w:szCs w:val="21"/>
          <w:lang w:eastAsia="zh-CN"/>
        </w:rPr>
        <w:t>”</w:t>
      </w:r>
      <w:r>
        <w:rPr>
          <w:rFonts w:hint="default" w:ascii="Times New Roman" w:hAnsi="Times New Roman" w:eastAsia="仿宋_GB2312" w:cs="Times New Roman"/>
          <w:snapToGrid w:val="0"/>
          <w:color w:val="auto"/>
          <w:kern w:val="0"/>
          <w:sz w:val="32"/>
          <w:szCs w:val="21"/>
        </w:rPr>
        <w:t>申请、审批、授信、放款</w:t>
      </w:r>
      <w:r>
        <w:rPr>
          <w:rFonts w:hint="eastAsia" w:ascii="Times New Roman" w:hAnsi="Times New Roman" w:cs="Times New Roman"/>
          <w:snapToGrid w:val="0"/>
          <w:color w:val="auto"/>
          <w:kern w:val="0"/>
          <w:sz w:val="32"/>
          <w:szCs w:val="21"/>
          <w:lang w:eastAsia="zh-CN"/>
        </w:rPr>
        <w:t>“</w:t>
      </w:r>
      <w:r>
        <w:rPr>
          <w:rFonts w:hint="default" w:ascii="Times New Roman" w:hAnsi="Times New Roman" w:eastAsia="仿宋_GB2312" w:cs="Times New Roman"/>
          <w:snapToGrid w:val="0"/>
          <w:color w:val="auto"/>
          <w:kern w:val="0"/>
          <w:sz w:val="32"/>
          <w:szCs w:val="21"/>
        </w:rPr>
        <w:t>一键</w:t>
      </w:r>
      <w:r>
        <w:rPr>
          <w:rFonts w:hint="eastAsia" w:ascii="Times New Roman" w:hAnsi="Times New Roman" w:cs="Times New Roman"/>
          <w:snapToGrid w:val="0"/>
          <w:color w:val="auto"/>
          <w:kern w:val="0"/>
          <w:sz w:val="32"/>
          <w:szCs w:val="21"/>
          <w:lang w:eastAsia="zh-CN"/>
        </w:rPr>
        <w:t>”</w:t>
      </w:r>
      <w:r>
        <w:rPr>
          <w:rFonts w:hint="default" w:ascii="Times New Roman" w:hAnsi="Times New Roman" w:eastAsia="仿宋_GB2312" w:cs="Times New Roman"/>
          <w:snapToGrid w:val="0"/>
          <w:color w:val="auto"/>
          <w:kern w:val="0"/>
          <w:sz w:val="32"/>
          <w:szCs w:val="21"/>
        </w:rPr>
        <w:t>完成</w:t>
      </w:r>
      <w:r>
        <w:rPr>
          <w:rFonts w:hint="eastAsia" w:ascii="Times New Roman" w:hAnsi="Times New Roman" w:eastAsia="仿宋_GB2312" w:cs="Times New Roman"/>
          <w:snapToGrid w:val="0"/>
          <w:color w:val="auto"/>
          <w:kern w:val="0"/>
          <w:sz w:val="32"/>
          <w:szCs w:val="21"/>
          <w:lang w:eastAsia="zh-CN"/>
        </w:rPr>
        <w:t>。</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val="en-US" w:eastAsia="zh-CN"/>
        </w:rPr>
        <w:t>区金融办</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区发改局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区税务局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区直有关</w:t>
      </w:r>
      <w:r>
        <w:rPr>
          <w:rFonts w:hint="eastAsia" w:ascii="楷体_GB2312" w:hAnsi="楷体_GB2312" w:eastAsia="楷体_GB2312" w:cs="楷体_GB2312"/>
          <w:color w:val="auto"/>
          <w:lang w:val="en-US" w:eastAsia="zh-CN"/>
        </w:rPr>
        <w:t>部门</w:t>
      </w:r>
      <w:r>
        <w:rPr>
          <w:rFonts w:hint="default" w:ascii="楷体_GB2312" w:hAnsi="楷体_GB2312" w:eastAsia="楷体_GB2312" w:cs="楷体_GB2312"/>
          <w:color w:val="auto"/>
        </w:rPr>
        <w:t>)</w:t>
      </w:r>
    </w:p>
    <w:p w14:paraId="56D007C9">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1</w:t>
      </w:r>
      <w:r>
        <w:rPr>
          <w:rFonts w:hint="eastAsia" w:ascii="Times New Roman" w:hAnsi="Times New Roman" w:cs="Times New Roman"/>
          <w:color w:val="auto"/>
          <w:lang w:val="en-US" w:eastAsia="zh-CN"/>
        </w:rPr>
        <w:t>2</w:t>
      </w:r>
      <w:r>
        <w:rPr>
          <w:rFonts w:hint="default" w:ascii="Times New Roman" w:hAnsi="Times New Roman" w:cs="Times New Roman"/>
          <w:color w:val="auto"/>
        </w:rPr>
        <w:t>.推广</w:t>
      </w:r>
      <w:r>
        <w:rPr>
          <w:rFonts w:hint="eastAsia" w:ascii="Times New Roman" w:hAnsi="Times New Roman" w:cs="Times New Roman"/>
          <w:color w:val="auto"/>
          <w:lang w:eastAsia="zh-CN"/>
        </w:rPr>
        <w:t>“</w:t>
      </w:r>
      <w:r>
        <w:rPr>
          <w:rFonts w:hint="default" w:ascii="Times New Roman" w:hAnsi="Times New Roman" w:cs="Times New Roman"/>
          <w:color w:val="auto"/>
        </w:rPr>
        <w:t>信易贷</w:t>
      </w:r>
      <w:r>
        <w:rPr>
          <w:rFonts w:hint="eastAsia" w:ascii="Times New Roman" w:hAnsi="Times New Roman" w:cs="Times New Roman"/>
          <w:color w:val="auto"/>
          <w:lang w:eastAsia="zh-CN"/>
        </w:rPr>
        <w:t>”“</w:t>
      </w:r>
      <w:r>
        <w:rPr>
          <w:rFonts w:hint="default" w:ascii="Times New Roman" w:hAnsi="Times New Roman" w:cs="Times New Roman"/>
          <w:color w:val="auto"/>
        </w:rPr>
        <w:t>纳税信用贷</w:t>
      </w:r>
      <w:r>
        <w:rPr>
          <w:rFonts w:hint="eastAsia" w:ascii="Times New Roman" w:hAnsi="Times New Roman" w:cs="Times New Roman"/>
          <w:color w:val="auto"/>
          <w:lang w:eastAsia="zh-CN"/>
        </w:rPr>
        <w:t>”</w:t>
      </w:r>
      <w:r>
        <w:rPr>
          <w:rFonts w:hint="default" w:ascii="Times New Roman" w:hAnsi="Times New Roman" w:cs="Times New Roman"/>
          <w:color w:val="auto"/>
        </w:rPr>
        <w:t>模式、</w:t>
      </w:r>
      <w:r>
        <w:rPr>
          <w:rFonts w:hint="eastAsia" w:ascii="Times New Roman" w:hAnsi="Times New Roman" w:cs="Times New Roman"/>
          <w:color w:val="auto"/>
          <w:lang w:eastAsia="zh-CN"/>
        </w:rPr>
        <w:t>“</w:t>
      </w:r>
      <w:r>
        <w:rPr>
          <w:rFonts w:hint="default" w:ascii="Times New Roman" w:hAnsi="Times New Roman" w:cs="Times New Roman"/>
          <w:color w:val="auto"/>
        </w:rPr>
        <w:t>301</w:t>
      </w:r>
      <w:r>
        <w:rPr>
          <w:rFonts w:hint="eastAsia" w:ascii="Times New Roman" w:hAnsi="Times New Roman" w:cs="Times New Roman"/>
          <w:color w:val="auto"/>
          <w:lang w:eastAsia="zh-CN"/>
        </w:rPr>
        <w:t>”</w:t>
      </w:r>
      <w:r>
        <w:rPr>
          <w:rFonts w:hint="default" w:ascii="Times New Roman" w:hAnsi="Times New Roman" w:cs="Times New Roman"/>
          <w:color w:val="auto"/>
        </w:rPr>
        <w:t>贷款模式和</w:t>
      </w:r>
      <w:r>
        <w:rPr>
          <w:rFonts w:hint="eastAsia" w:ascii="Times New Roman" w:hAnsi="Times New Roman" w:cs="Times New Roman"/>
          <w:color w:val="auto"/>
          <w:lang w:eastAsia="zh-CN"/>
        </w:rPr>
        <w:t>“</w:t>
      </w:r>
      <w:r>
        <w:rPr>
          <w:rFonts w:hint="default" w:ascii="Times New Roman" w:hAnsi="Times New Roman" w:cs="Times New Roman"/>
          <w:color w:val="auto"/>
        </w:rPr>
        <w:t>楚天贷款码</w:t>
      </w:r>
      <w:r>
        <w:rPr>
          <w:rFonts w:hint="eastAsia" w:ascii="Times New Roman" w:hAnsi="Times New Roman" w:cs="Times New Roman"/>
          <w:color w:val="auto"/>
          <w:lang w:eastAsia="zh-CN"/>
        </w:rPr>
        <w:t>”。</w:t>
      </w:r>
      <w:r>
        <w:rPr>
          <w:rFonts w:hint="default" w:ascii="Times New Roman" w:hAnsi="Times New Roman" w:cs="Times New Roman"/>
          <w:color w:val="auto"/>
        </w:rPr>
        <w:t>切实提高中小企业信用贷款占比，</w:t>
      </w:r>
      <w:r>
        <w:rPr>
          <w:rFonts w:hint="eastAsia" w:ascii="Times New Roman" w:hAnsi="Times New Roman" w:cs="Times New Roman"/>
          <w:color w:val="auto"/>
          <w:lang w:eastAsia="zh-CN"/>
        </w:rPr>
        <w:t>加大普惠型小微企业贷款信</w:t>
      </w:r>
      <w:r>
        <w:rPr>
          <w:rFonts w:hint="eastAsia" w:ascii="Times New Roman" w:hAnsi="Times New Roman" w:cs="Times New Roman"/>
          <w:color w:val="auto"/>
          <w:highlight w:val="none"/>
          <w:lang w:eastAsia="zh-CN"/>
        </w:rPr>
        <w:t>贷</w:t>
      </w:r>
      <w:r>
        <w:rPr>
          <w:rFonts w:hint="eastAsia" w:ascii="Times New Roman" w:hAnsi="Times New Roman" w:cs="Times New Roman"/>
          <w:color w:val="auto"/>
          <w:highlight w:val="none"/>
          <w:shd w:val="clear"/>
          <w:lang w:eastAsia="zh-CN"/>
        </w:rPr>
        <w:t>投放，实现普惠型小微企业贷款增速在全省排名前列，</w:t>
      </w:r>
      <w:r>
        <w:rPr>
          <w:rFonts w:hint="eastAsia" w:ascii="Times New Roman" w:hAnsi="Times New Roman" w:cs="Times New Roman"/>
          <w:color w:val="auto"/>
          <w:shd w:val="clear"/>
          <w:lang w:eastAsia="zh-CN"/>
        </w:rPr>
        <w:t>有贷款余额的户数不低于年初水平</w:t>
      </w:r>
      <w:r>
        <w:rPr>
          <w:rFonts w:hint="default" w:ascii="Times New Roman" w:hAnsi="Times New Roman" w:cs="Times New Roman"/>
          <w:color w:val="auto"/>
          <w:shd w:val="clear"/>
        </w:rPr>
        <w:t>。</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val="en-US" w:eastAsia="zh-CN"/>
        </w:rPr>
        <w:t>区金融办</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区发改局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区税务局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区直有关</w:t>
      </w:r>
      <w:r>
        <w:rPr>
          <w:rFonts w:hint="eastAsia" w:ascii="楷体_GB2312" w:hAnsi="楷体_GB2312" w:eastAsia="楷体_GB2312" w:cs="楷体_GB2312"/>
          <w:color w:val="auto"/>
          <w:lang w:val="en-US" w:eastAsia="zh-CN"/>
        </w:rPr>
        <w:t>部门</w:t>
      </w:r>
      <w:r>
        <w:rPr>
          <w:rFonts w:hint="default" w:ascii="楷体_GB2312" w:hAnsi="楷体_GB2312" w:eastAsia="楷体_GB2312" w:cs="楷体_GB2312"/>
          <w:color w:val="auto"/>
        </w:rPr>
        <w:t>)</w:t>
      </w:r>
    </w:p>
    <w:p w14:paraId="655DF74E">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1</w:t>
      </w:r>
      <w:r>
        <w:rPr>
          <w:rFonts w:hint="eastAsia" w:ascii="Times New Roman" w:hAnsi="Times New Roman" w:cs="Times New Roman"/>
          <w:color w:val="auto"/>
          <w:lang w:val="en-US" w:eastAsia="zh-CN"/>
        </w:rPr>
        <w:t>3</w:t>
      </w:r>
      <w:r>
        <w:rPr>
          <w:rFonts w:hint="default" w:ascii="Times New Roman" w:hAnsi="Times New Roman" w:cs="Times New Roman"/>
          <w:color w:val="auto"/>
        </w:rPr>
        <w:t>.对符合条件的个体工商户担保费率降至</w:t>
      </w:r>
      <w:r>
        <w:rPr>
          <w:rFonts w:hint="eastAsia" w:ascii="Times New Roman" w:hAnsi="Times New Roman" w:cs="Times New Roman"/>
          <w:color w:val="auto"/>
          <w:lang w:val="en-US" w:eastAsia="zh-CN"/>
        </w:rPr>
        <w:t>1</w:t>
      </w:r>
      <w:r>
        <w:rPr>
          <w:rFonts w:hint="default" w:ascii="Times New Roman" w:hAnsi="Times New Roman" w:cs="Times New Roman"/>
          <w:color w:val="auto"/>
        </w:rPr>
        <w:t>%以下</w:t>
      </w:r>
      <w:r>
        <w:rPr>
          <w:rFonts w:hint="eastAsia" w:ascii="Times New Roman" w:hAnsi="Times New Roman" w:cs="Times New Roman"/>
          <w:color w:val="auto"/>
          <w:lang w:eastAsia="zh-CN"/>
        </w:rPr>
        <w:t>，</w:t>
      </w:r>
      <w:r>
        <w:rPr>
          <w:rFonts w:hint="default" w:ascii="Times New Roman" w:hAnsi="Times New Roman" w:cs="Times New Roman"/>
          <w:color w:val="auto"/>
        </w:rPr>
        <w:t>持续推动担保公司和全</w:t>
      </w:r>
      <w:r>
        <w:rPr>
          <w:rFonts w:hint="eastAsia" w:ascii="Times New Roman" w:hAnsi="Times New Roman" w:cs="Times New Roman"/>
          <w:color w:val="auto"/>
          <w:lang w:val="en-US" w:eastAsia="zh-CN"/>
        </w:rPr>
        <w:t>区</w:t>
      </w:r>
      <w:r>
        <w:rPr>
          <w:rFonts w:hint="default" w:ascii="Times New Roman" w:hAnsi="Times New Roman" w:cs="Times New Roman"/>
          <w:color w:val="auto"/>
        </w:rPr>
        <w:t>金融机构签订担保合作协议，扩大金融机构担保业务覆盖面。积极引导市场主体正确采用表外融资，对表外业务手续费实行差异化减免政策。</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val="en-US" w:eastAsia="zh-CN"/>
        </w:rPr>
        <w:t>区金融办</w:t>
      </w:r>
      <w:r>
        <w:rPr>
          <w:rFonts w:hint="default" w:ascii="楷体_GB2312" w:hAnsi="楷体_GB2312" w:eastAsia="楷体_GB2312" w:cs="楷体_GB2312"/>
          <w:color w:val="auto"/>
        </w:rPr>
        <w:t>)</w:t>
      </w:r>
    </w:p>
    <w:p w14:paraId="531903FC">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1</w:t>
      </w:r>
      <w:r>
        <w:rPr>
          <w:rFonts w:hint="eastAsia" w:ascii="Times New Roman" w:hAnsi="Times New Roman" w:cs="Times New Roman"/>
          <w:color w:val="auto"/>
          <w:lang w:val="en-US" w:eastAsia="zh-CN"/>
        </w:rPr>
        <w:t>4</w:t>
      </w:r>
      <w:r>
        <w:rPr>
          <w:rFonts w:hint="default" w:ascii="Times New Roman" w:hAnsi="Times New Roman" w:cs="Times New Roman"/>
          <w:color w:val="auto"/>
        </w:rPr>
        <w:t>.大力推进社会信用体系建设，规范市场主体信用信息纳入范围、失信约束措施，大力培育信用评级机构，提升征信机构覆盖面。加强政策宣传解读，扩大政策知晓度，依托省信用平台和信用随州网站，实现企业在线</w:t>
      </w:r>
      <w:r>
        <w:rPr>
          <w:rFonts w:hint="eastAsia" w:ascii="Times New Roman" w:hAnsi="Times New Roman" w:cs="Times New Roman"/>
          <w:color w:val="auto"/>
          <w:lang w:eastAsia="zh-CN"/>
        </w:rPr>
        <w:t>“</w:t>
      </w:r>
      <w:r>
        <w:rPr>
          <w:rFonts w:hint="default" w:ascii="Times New Roman" w:hAnsi="Times New Roman" w:cs="Times New Roman"/>
          <w:color w:val="auto"/>
        </w:rPr>
        <w:t>一键</w:t>
      </w:r>
      <w:r>
        <w:rPr>
          <w:rFonts w:hint="eastAsia" w:ascii="Times New Roman" w:hAnsi="Times New Roman" w:cs="Times New Roman"/>
          <w:color w:val="auto"/>
          <w:lang w:eastAsia="zh-CN"/>
        </w:rPr>
        <w:t>”</w:t>
      </w:r>
      <w:r>
        <w:rPr>
          <w:rFonts w:hint="default" w:ascii="Times New Roman" w:hAnsi="Times New Roman" w:cs="Times New Roman"/>
          <w:color w:val="auto"/>
        </w:rPr>
        <w:t>申请，在发改、商务、</w:t>
      </w:r>
      <w:r>
        <w:rPr>
          <w:rFonts w:hint="eastAsia" w:ascii="Times New Roman" w:hAnsi="Times New Roman" w:cs="Times New Roman"/>
          <w:color w:val="auto"/>
          <w:highlight w:val="none"/>
          <w:lang w:val="en-US" w:eastAsia="zh-CN"/>
        </w:rPr>
        <w:t>科经</w:t>
      </w:r>
      <w:r>
        <w:rPr>
          <w:rFonts w:hint="default" w:ascii="Times New Roman" w:hAnsi="Times New Roman" w:cs="Times New Roman"/>
          <w:color w:val="auto"/>
        </w:rPr>
        <w:t>、公安、市场监管、税务等领域试行市场主体线上开具专用信用报告代替有无违法违规记录证明，推行</w:t>
      </w:r>
      <w:r>
        <w:rPr>
          <w:rFonts w:hint="eastAsia" w:ascii="Times New Roman" w:hAnsi="Times New Roman" w:cs="Times New Roman"/>
          <w:color w:val="auto"/>
          <w:lang w:eastAsia="zh-CN"/>
        </w:rPr>
        <w:t>“</w:t>
      </w:r>
      <w:r>
        <w:rPr>
          <w:rFonts w:hint="default" w:ascii="Times New Roman" w:hAnsi="Times New Roman" w:cs="Times New Roman"/>
          <w:color w:val="auto"/>
        </w:rPr>
        <w:t>市场主体合规一码通</w:t>
      </w:r>
      <w:r>
        <w:rPr>
          <w:rFonts w:hint="eastAsia" w:ascii="Times New Roman" w:hAnsi="Times New Roman" w:cs="Times New Roman"/>
          <w:color w:val="auto"/>
          <w:lang w:eastAsia="zh-CN"/>
        </w:rPr>
        <w:t>”</w:t>
      </w:r>
      <w:r>
        <w:rPr>
          <w:rFonts w:hint="default" w:ascii="Times New Roman" w:hAnsi="Times New Roman" w:cs="Times New Roman"/>
          <w:color w:val="auto"/>
        </w:rPr>
        <w:t>。</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区发改局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区司法局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区直有关</w:t>
      </w:r>
      <w:r>
        <w:rPr>
          <w:rFonts w:hint="eastAsia" w:ascii="楷体_GB2312" w:hAnsi="楷体_GB2312" w:eastAsia="楷体_GB2312" w:cs="楷体_GB2312"/>
          <w:color w:val="auto"/>
          <w:lang w:val="en-US" w:eastAsia="zh-CN"/>
        </w:rPr>
        <w:t>部门</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76EFECE4">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黑体" w:hAnsi="黑体" w:eastAsia="黑体" w:cs="黑体"/>
          <w:color w:val="auto"/>
        </w:rPr>
      </w:pPr>
      <w:r>
        <w:rPr>
          <w:rFonts w:hint="default" w:ascii="黑体" w:hAnsi="黑体" w:eastAsia="黑体" w:cs="黑体"/>
          <w:color w:val="auto"/>
        </w:rPr>
        <w:t>六、降低用地成本</w:t>
      </w:r>
    </w:p>
    <w:p w14:paraId="3CBA3104">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1</w:t>
      </w:r>
      <w:r>
        <w:rPr>
          <w:rFonts w:hint="eastAsia" w:ascii="Times New Roman" w:hAnsi="Times New Roman" w:cs="Times New Roman"/>
          <w:color w:val="auto"/>
          <w:lang w:val="en-US" w:eastAsia="zh-CN"/>
        </w:rPr>
        <w:t>5</w:t>
      </w:r>
      <w:r>
        <w:rPr>
          <w:rFonts w:hint="default" w:ascii="Times New Roman" w:hAnsi="Times New Roman" w:cs="Times New Roman"/>
          <w:color w:val="auto"/>
        </w:rPr>
        <w:t>.探索社会投资类项目</w:t>
      </w:r>
      <w:r>
        <w:rPr>
          <w:rFonts w:hint="eastAsia" w:ascii="Times New Roman" w:hAnsi="Times New Roman" w:cs="Times New Roman"/>
          <w:color w:val="auto"/>
          <w:lang w:eastAsia="zh-CN"/>
        </w:rPr>
        <w:t>“</w:t>
      </w:r>
      <w:r>
        <w:rPr>
          <w:rFonts w:hint="default" w:ascii="Times New Roman" w:hAnsi="Times New Roman" w:cs="Times New Roman"/>
          <w:color w:val="auto"/>
        </w:rPr>
        <w:t>用地清单制</w:t>
      </w:r>
      <w:r>
        <w:rPr>
          <w:rFonts w:hint="eastAsia" w:ascii="Times New Roman" w:hAnsi="Times New Roman" w:cs="Times New Roman"/>
          <w:color w:val="auto"/>
          <w:lang w:eastAsia="zh-CN"/>
        </w:rPr>
        <w:t>”，</w:t>
      </w:r>
      <w:r>
        <w:rPr>
          <w:rFonts w:hint="default" w:ascii="Times New Roman" w:hAnsi="Times New Roman" w:cs="Times New Roman"/>
          <w:color w:val="auto"/>
        </w:rPr>
        <w:t>大力推行</w:t>
      </w:r>
      <w:r>
        <w:rPr>
          <w:rFonts w:hint="eastAsia" w:ascii="Times New Roman" w:hAnsi="Times New Roman" w:cs="Times New Roman"/>
          <w:color w:val="auto"/>
          <w:lang w:eastAsia="zh-CN"/>
        </w:rPr>
        <w:t>“</w:t>
      </w:r>
      <w:r>
        <w:rPr>
          <w:rFonts w:hint="default" w:ascii="Times New Roman" w:hAnsi="Times New Roman" w:cs="Times New Roman"/>
          <w:color w:val="auto"/>
        </w:rPr>
        <w:t>标准地</w:t>
      </w:r>
      <w:r>
        <w:rPr>
          <w:rFonts w:hint="eastAsia" w:ascii="Times New Roman" w:hAnsi="Times New Roman" w:cs="Times New Roman"/>
          <w:color w:val="auto"/>
          <w:lang w:eastAsia="zh-CN"/>
        </w:rPr>
        <w:t>”</w:t>
      </w:r>
      <w:r>
        <w:rPr>
          <w:rFonts w:hint="default" w:ascii="Times New Roman" w:hAnsi="Times New Roman" w:cs="Times New Roman"/>
          <w:color w:val="auto"/>
        </w:rPr>
        <w:t>出让，</w:t>
      </w:r>
      <w:r>
        <w:rPr>
          <w:rFonts w:hint="eastAsia" w:ascii="仿宋_GB2312" w:hAnsi="仿宋_GB2312" w:eastAsia="仿宋_GB2312" w:cs="仿宋_GB2312"/>
          <w:color w:val="auto"/>
          <w:sz w:val="32"/>
          <w:szCs w:val="32"/>
          <w:lang w:val="en-US" w:eastAsia="zh-CN"/>
        </w:rPr>
        <w:t>对于已完成区域性统一评价的各类园区，确保100%按照</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标准地</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方式进行出让，实行拿地即可</w:t>
      </w:r>
      <w:r>
        <w:rPr>
          <w:rFonts w:hint="eastAsia" w:ascii="仿宋_GB2312" w:hAnsi="仿宋_GB2312" w:cs="仿宋_GB2312"/>
          <w:color w:val="auto"/>
          <w:sz w:val="32"/>
          <w:szCs w:val="32"/>
          <w:lang w:val="en-US" w:eastAsia="zh-CN"/>
        </w:rPr>
        <w:t>开工，</w:t>
      </w:r>
      <w:r>
        <w:rPr>
          <w:rFonts w:hint="default" w:ascii="Times New Roman" w:hAnsi="Times New Roman" w:cs="Times New Roman"/>
          <w:color w:val="auto"/>
        </w:rPr>
        <w:t>切实缩短项目开工时间。试点推行</w:t>
      </w:r>
      <w:r>
        <w:rPr>
          <w:rFonts w:hint="eastAsia" w:ascii="Times New Roman" w:hAnsi="Times New Roman" w:cs="Times New Roman"/>
          <w:color w:val="auto"/>
          <w:lang w:eastAsia="zh-CN"/>
        </w:rPr>
        <w:t>“</w:t>
      </w:r>
      <w:r>
        <w:rPr>
          <w:rFonts w:hint="default" w:ascii="Times New Roman" w:hAnsi="Times New Roman" w:cs="Times New Roman"/>
          <w:color w:val="auto"/>
        </w:rPr>
        <w:t>桩基先行</w:t>
      </w:r>
      <w:r>
        <w:rPr>
          <w:rFonts w:hint="eastAsia" w:ascii="Times New Roman" w:hAnsi="Times New Roman" w:cs="Times New Roman"/>
          <w:color w:val="auto"/>
          <w:lang w:eastAsia="zh-CN"/>
        </w:rPr>
        <w:t>”，</w:t>
      </w:r>
      <w:r>
        <w:rPr>
          <w:rFonts w:hint="default" w:ascii="Times New Roman" w:hAnsi="Times New Roman" w:cs="Times New Roman"/>
          <w:color w:val="auto"/>
        </w:rPr>
        <w:t>实行分段图审、分段许可、分段施工，建设项目设计方案批复和桩基基础图审合格后即可单独申报基础部分的施工许可，基础先行开工，以缩短项目审批和建设周期。</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区自然资源局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区住建局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0A200B15">
      <w:pPr>
        <w:keepNext w:val="0"/>
        <w:keepLines w:val="0"/>
        <w:pageBreakBefore w:val="0"/>
        <w:widowControl w:val="0"/>
        <w:shd w:val="clear"/>
        <w:kinsoku/>
        <w:wordWrap/>
        <w:overflowPunct/>
        <w:topLinePunct w:val="0"/>
        <w:autoSpaceDE/>
        <w:autoSpaceDN/>
        <w:bidi w:val="0"/>
        <w:adjustRightInd/>
        <w:snapToGrid/>
        <w:spacing w:line="580" w:lineRule="exact"/>
        <w:ind w:firstLine="624" w:firstLineChars="200"/>
        <w:jc w:val="both"/>
        <w:textAlignment w:val="auto"/>
        <w:rPr>
          <w:rFonts w:hint="default" w:ascii="楷体_GB2312" w:hAnsi="楷体_GB2312" w:eastAsia="楷体_GB2312" w:cs="楷体_GB2312"/>
          <w:color w:val="auto"/>
        </w:rPr>
      </w:pPr>
      <w:r>
        <w:rPr>
          <w:rFonts w:hint="default" w:ascii="Times New Roman" w:hAnsi="Times New Roman" w:cs="Times New Roman"/>
          <w:color w:val="auto"/>
        </w:rPr>
        <w:t>1</w:t>
      </w:r>
      <w:r>
        <w:rPr>
          <w:rFonts w:hint="eastAsia" w:ascii="Times New Roman" w:hAnsi="Times New Roman" w:cs="Times New Roman"/>
          <w:color w:val="auto"/>
          <w:lang w:val="en-US" w:eastAsia="zh-CN"/>
        </w:rPr>
        <w:t>6</w:t>
      </w:r>
      <w:r>
        <w:rPr>
          <w:rFonts w:hint="default" w:ascii="Times New Roman" w:hAnsi="Times New Roman" w:cs="Times New Roman"/>
          <w:color w:val="auto"/>
          <w:shd w:val="clear"/>
        </w:rPr>
        <w:t>.推进建设用地审批制度改革，给予更多的用地自主权。提高用地保障效率。</w:t>
      </w:r>
      <w:r>
        <w:rPr>
          <w:rFonts w:hint="eastAsia" w:ascii="Times New Roman" w:hAnsi="Times New Roman" w:cs="Times New Roman"/>
          <w:color w:val="auto"/>
          <w:shd w:val="clear"/>
          <w:lang w:eastAsia="zh-CN"/>
        </w:rPr>
        <w:t>在</w:t>
      </w:r>
      <w:r>
        <w:rPr>
          <w:rFonts w:hint="eastAsia" w:ascii="仿宋_GB2312" w:hAnsi="仿宋_GB2312" w:eastAsia="仿宋_GB2312" w:cs="仿宋_GB2312"/>
          <w:color w:val="auto"/>
          <w:sz w:val="32"/>
          <w:szCs w:val="32"/>
          <w:shd w:val="clear"/>
          <w:lang w:val="en-US" w:eastAsia="zh-CN"/>
        </w:rPr>
        <w:t>符合国土空间规划、不改变用途、确保安全的前提下，支持工业企业提高容积率</w:t>
      </w:r>
      <w:r>
        <w:rPr>
          <w:rFonts w:hint="eastAsia" w:ascii="仿宋_GB2312" w:hAnsi="仿宋_GB2312" w:cs="仿宋_GB2312"/>
          <w:color w:val="auto"/>
          <w:sz w:val="32"/>
          <w:szCs w:val="32"/>
          <w:shd w:val="clear"/>
          <w:lang w:val="en-US" w:eastAsia="zh-CN"/>
        </w:rPr>
        <w:t>。</w:t>
      </w:r>
      <w:r>
        <w:rPr>
          <w:rFonts w:hint="eastAsia" w:ascii="仿宋_GB2312" w:hAnsi="仿宋_GB2312" w:eastAsia="仿宋_GB2312" w:cs="仿宋_GB2312"/>
          <w:color w:val="auto"/>
          <w:sz w:val="32"/>
          <w:szCs w:val="32"/>
          <w:shd w:val="clear"/>
          <w:lang w:val="en-US" w:eastAsia="zh-CN"/>
        </w:rPr>
        <w:t>在工业用地原用地范围内进行技术改造、建设多层厂房、实施厂房改造加层或开发利用地下空间而提高容积率的，不增收土地价款</w:t>
      </w:r>
      <w:r>
        <w:rPr>
          <w:rFonts w:hint="default" w:ascii="Times New Roman" w:hAnsi="Times New Roman" w:cs="Times New Roman"/>
          <w:color w:val="auto"/>
          <w:shd w:val="clear"/>
        </w:rPr>
        <w:t>。</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区自然资源局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577B0801">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1</w:t>
      </w:r>
      <w:r>
        <w:rPr>
          <w:rFonts w:hint="eastAsia" w:ascii="Times New Roman" w:hAnsi="Times New Roman" w:cs="Times New Roman"/>
          <w:color w:val="auto"/>
          <w:lang w:val="en-US" w:eastAsia="zh-CN"/>
        </w:rPr>
        <w:t>7</w:t>
      </w:r>
      <w:r>
        <w:rPr>
          <w:rFonts w:hint="default" w:ascii="Times New Roman" w:hAnsi="Times New Roman" w:cs="Times New Roman"/>
          <w:color w:val="auto"/>
          <w:highlight w:val="none"/>
          <w:shd w:val="clear"/>
        </w:rPr>
        <w:t>.</w:t>
      </w:r>
      <w:r>
        <w:rPr>
          <w:rFonts w:hint="default" w:ascii="Times New Roman" w:hAnsi="Times New Roman" w:cs="Times New Roman"/>
          <w:color w:val="auto"/>
          <w:shd w:val="clear"/>
        </w:rPr>
        <w:t>深入开展</w:t>
      </w:r>
      <w:r>
        <w:rPr>
          <w:rFonts w:hint="eastAsia" w:ascii="Times New Roman" w:hAnsi="Times New Roman" w:cs="Times New Roman"/>
          <w:color w:val="auto"/>
          <w:shd w:val="clear"/>
          <w:lang w:eastAsia="zh-CN"/>
        </w:rPr>
        <w:t>“</w:t>
      </w:r>
      <w:r>
        <w:rPr>
          <w:rFonts w:hint="default" w:ascii="Times New Roman" w:hAnsi="Times New Roman" w:cs="Times New Roman"/>
          <w:color w:val="auto"/>
          <w:shd w:val="clear"/>
        </w:rPr>
        <w:t>打好支持发展大会战</w:t>
      </w:r>
      <w:r>
        <w:rPr>
          <w:rFonts w:hint="eastAsia" w:ascii="Times New Roman" w:hAnsi="Times New Roman" w:cs="Times New Roman"/>
          <w:color w:val="auto"/>
          <w:shd w:val="clear"/>
          <w:lang w:eastAsia="zh-CN"/>
        </w:rPr>
        <w:t>”</w:t>
      </w:r>
      <w:r>
        <w:rPr>
          <w:rFonts w:hint="default" w:ascii="Times New Roman" w:hAnsi="Times New Roman" w:cs="Times New Roman"/>
          <w:color w:val="auto"/>
          <w:shd w:val="clear"/>
        </w:rPr>
        <w:t>专项行动。聚焦省市区2023年重点项目，纳入金牌</w:t>
      </w:r>
      <w:r>
        <w:rPr>
          <w:rFonts w:hint="eastAsia" w:ascii="Times New Roman" w:hAnsi="Times New Roman" w:cs="Times New Roman"/>
          <w:color w:val="auto"/>
          <w:shd w:val="clear"/>
          <w:lang w:eastAsia="zh-CN"/>
        </w:rPr>
        <w:t>“</w:t>
      </w:r>
      <w:r>
        <w:rPr>
          <w:rFonts w:hint="default" w:ascii="Times New Roman" w:hAnsi="Times New Roman" w:cs="Times New Roman"/>
          <w:color w:val="auto"/>
          <w:shd w:val="clear"/>
        </w:rPr>
        <w:t>店小二</w:t>
      </w:r>
      <w:r>
        <w:rPr>
          <w:rFonts w:hint="eastAsia" w:ascii="Times New Roman" w:hAnsi="Times New Roman" w:cs="Times New Roman"/>
          <w:color w:val="auto"/>
          <w:shd w:val="clear"/>
          <w:lang w:eastAsia="zh-CN"/>
        </w:rPr>
        <w:t>”</w:t>
      </w:r>
      <w:r>
        <w:rPr>
          <w:rFonts w:hint="default" w:ascii="Times New Roman" w:hAnsi="Times New Roman" w:cs="Times New Roman"/>
          <w:color w:val="auto"/>
          <w:shd w:val="clear"/>
        </w:rPr>
        <w:t>用地用林服务范畴，开展</w:t>
      </w:r>
      <w:r>
        <w:rPr>
          <w:rFonts w:hint="eastAsia" w:ascii="Times New Roman" w:hAnsi="Times New Roman" w:cs="Times New Roman"/>
          <w:color w:val="auto"/>
          <w:shd w:val="clear"/>
          <w:lang w:eastAsia="zh-CN"/>
        </w:rPr>
        <w:t>“</w:t>
      </w:r>
      <w:r>
        <w:rPr>
          <w:rFonts w:hint="default" w:ascii="Times New Roman" w:hAnsi="Times New Roman" w:cs="Times New Roman"/>
          <w:color w:val="auto"/>
          <w:shd w:val="clear"/>
        </w:rPr>
        <w:t>一对一</w:t>
      </w:r>
      <w:r>
        <w:rPr>
          <w:rFonts w:hint="eastAsia" w:ascii="Times New Roman" w:hAnsi="Times New Roman" w:cs="Times New Roman"/>
          <w:color w:val="auto"/>
          <w:shd w:val="clear"/>
          <w:lang w:eastAsia="zh-CN"/>
        </w:rPr>
        <w:t>”</w:t>
      </w:r>
      <w:r>
        <w:rPr>
          <w:rFonts w:hint="default" w:ascii="Times New Roman" w:hAnsi="Times New Roman" w:cs="Times New Roman"/>
          <w:color w:val="auto"/>
          <w:shd w:val="clear"/>
        </w:rPr>
        <w:t>包保服务。及时跟踪协调解决用地问题，确保项目落实落地。</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区自然资源局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334E532D">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黑体" w:hAnsi="黑体" w:eastAsia="黑体" w:cs="黑体"/>
          <w:color w:val="auto"/>
        </w:rPr>
      </w:pPr>
      <w:r>
        <w:rPr>
          <w:rFonts w:hint="default" w:ascii="黑体" w:hAnsi="黑体" w:eastAsia="黑体" w:cs="黑体"/>
          <w:color w:val="auto"/>
        </w:rPr>
        <w:t>七、降低物流成本</w:t>
      </w:r>
    </w:p>
    <w:p w14:paraId="00CE3ECE">
      <w:pPr>
        <w:keepNext w:val="0"/>
        <w:keepLines w:val="0"/>
        <w:pageBreakBefore w:val="0"/>
        <w:widowControl w:val="0"/>
        <w:shd w:val="clear"/>
        <w:wordWrap/>
        <w:overflowPunct/>
        <w:topLinePunct w:val="0"/>
        <w:bidi w:val="0"/>
        <w:spacing w:line="580" w:lineRule="exact"/>
        <w:ind w:firstLine="624" w:firstLineChars="200"/>
        <w:jc w:val="left"/>
        <w:textAlignment w:val="top"/>
        <w:rPr>
          <w:rFonts w:hint="default" w:ascii="楷体_GB2312" w:hAnsi="楷体_GB2312" w:eastAsia="楷体_GB2312" w:cs="楷体_GB2312"/>
          <w:color w:val="auto"/>
        </w:rPr>
      </w:pPr>
      <w:r>
        <w:rPr>
          <w:rFonts w:hint="default" w:ascii="Times New Roman" w:hAnsi="Times New Roman" w:cs="Times New Roman"/>
          <w:color w:val="auto"/>
        </w:rPr>
        <w:t>1</w:t>
      </w:r>
      <w:r>
        <w:rPr>
          <w:rFonts w:hint="eastAsia" w:ascii="Times New Roman" w:hAnsi="Times New Roman" w:cs="Times New Roman"/>
          <w:color w:val="auto"/>
          <w:lang w:val="en-US" w:eastAsia="zh-CN"/>
        </w:rPr>
        <w:t>8</w:t>
      </w:r>
      <w:r>
        <w:rPr>
          <w:rFonts w:hint="default" w:ascii="Times New Roman" w:hAnsi="Times New Roman" w:cs="Times New Roman"/>
          <w:color w:val="auto"/>
        </w:rPr>
        <w:t>.推动建立产业链供应链服务平台，促进各类资源整合和要素集聚，降低产业链流通成本。大力推进</w:t>
      </w:r>
      <w:r>
        <w:rPr>
          <w:rFonts w:hint="eastAsia" w:ascii="Times New Roman" w:hAnsi="Times New Roman" w:cs="Times New Roman"/>
          <w:color w:val="auto"/>
          <w:lang w:eastAsia="zh-CN"/>
        </w:rPr>
        <w:t>“</w:t>
      </w:r>
      <w:r>
        <w:rPr>
          <w:rFonts w:hint="default" w:ascii="Times New Roman" w:hAnsi="Times New Roman" w:cs="Times New Roman"/>
          <w:color w:val="auto"/>
        </w:rPr>
        <w:t>公转铁</w:t>
      </w:r>
      <w:r>
        <w:rPr>
          <w:rFonts w:hint="eastAsia" w:ascii="Times New Roman" w:hAnsi="Times New Roman" w:cs="Times New Roman"/>
          <w:color w:val="auto"/>
          <w:lang w:eastAsia="zh-CN"/>
        </w:rPr>
        <w:t>”，</w:t>
      </w:r>
      <w:r>
        <w:rPr>
          <w:rFonts w:hint="default" w:ascii="Times New Roman" w:hAnsi="Times New Roman" w:cs="Times New Roman"/>
          <w:color w:val="auto"/>
        </w:rPr>
        <w:t>加快推进多式联运建设，重点推</w:t>
      </w:r>
      <w:r>
        <w:rPr>
          <w:rFonts w:hint="default" w:ascii="Times New Roman" w:hAnsi="Times New Roman" w:cs="Times New Roman"/>
          <w:color w:val="auto"/>
          <w:lang w:eastAsia="zh-CN"/>
        </w:rPr>
        <w:t>进公铁联运交通枢纽建设</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铁路货运量同比增长5%,多式联运集装箱量增长15%以上</w:t>
      </w:r>
      <w:r>
        <w:rPr>
          <w:rFonts w:hint="eastAsia" w:ascii="Times New Roman" w:hAnsi="Times New Roman" w:cs="Times New Roman"/>
          <w:color w:val="auto"/>
          <w:lang w:eastAsia="zh-CN"/>
        </w:rPr>
        <w:t>。</w:t>
      </w:r>
      <w:r>
        <w:rPr>
          <w:rFonts w:hint="default" w:ascii="楷体_GB2312" w:hAnsi="楷体_GB2312" w:eastAsia="楷体_GB2312" w:cs="楷体_GB2312"/>
          <w:color w:val="auto"/>
          <w:lang w:eastAsia="zh-CN"/>
        </w:rPr>
        <w:t>(牵头单位：</w:t>
      </w:r>
      <w:r>
        <w:rPr>
          <w:rFonts w:hint="eastAsia" w:ascii="楷体_GB2312" w:hAnsi="楷体_GB2312" w:eastAsia="楷体_GB2312" w:cs="楷体_GB2312"/>
          <w:color w:val="auto"/>
          <w:lang w:eastAsia="zh-CN"/>
        </w:rPr>
        <w:t>区发改局</w:t>
      </w:r>
      <w:r>
        <w:rPr>
          <w:rFonts w:hint="default" w:ascii="楷体_GB2312" w:hAnsi="楷体_GB2312" w:eastAsia="楷体_GB2312" w:cs="楷体_GB2312"/>
          <w:color w:val="auto"/>
          <w:lang w:eastAsia="zh-CN"/>
        </w:rPr>
        <w:t>、</w:t>
      </w:r>
      <w:r>
        <w:rPr>
          <w:rFonts w:hint="eastAsia" w:ascii="楷体_GB2312" w:hAnsi="楷体_GB2312" w:eastAsia="楷体_GB2312" w:cs="楷体_GB2312"/>
          <w:color w:val="auto"/>
          <w:lang w:eastAsia="zh-CN"/>
        </w:rPr>
        <w:t>区交通运输局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区直有关</w:t>
      </w:r>
      <w:r>
        <w:rPr>
          <w:rFonts w:hint="eastAsia" w:ascii="楷体_GB2312" w:hAnsi="楷体_GB2312" w:eastAsia="楷体_GB2312" w:cs="楷体_GB2312"/>
          <w:color w:val="auto"/>
          <w:lang w:val="en-US" w:eastAsia="zh-CN"/>
        </w:rPr>
        <w:t>部门</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157708A2">
      <w:pPr>
        <w:keepNext w:val="0"/>
        <w:keepLines w:val="0"/>
        <w:pageBreakBefore w:val="0"/>
        <w:widowControl w:val="0"/>
        <w:shd w:val="clear"/>
        <w:wordWrap/>
        <w:overflowPunct/>
        <w:topLinePunct w:val="0"/>
        <w:bidi w:val="0"/>
        <w:spacing w:line="580" w:lineRule="exact"/>
        <w:ind w:firstLine="624" w:firstLineChars="200"/>
        <w:jc w:val="left"/>
        <w:textAlignment w:val="top"/>
        <w:rPr>
          <w:rFonts w:hint="default" w:ascii="楷体_GB2312" w:hAnsi="楷体_GB2312" w:eastAsia="楷体_GB2312" w:cs="楷体_GB2312"/>
          <w:color w:val="auto"/>
        </w:rPr>
      </w:pPr>
      <w:r>
        <w:rPr>
          <w:rFonts w:hint="eastAsia" w:ascii="Times New Roman" w:hAnsi="Times New Roman" w:cs="Times New Roman"/>
          <w:color w:val="auto"/>
          <w:lang w:val="en-US" w:eastAsia="zh-CN"/>
        </w:rPr>
        <w:t>19</w:t>
      </w:r>
      <w:r>
        <w:rPr>
          <w:rFonts w:hint="default" w:ascii="Times New Roman" w:hAnsi="Times New Roman" w:cs="Times New Roman"/>
          <w:color w:val="auto"/>
        </w:rPr>
        <w:t>.积极推广</w:t>
      </w:r>
      <w:r>
        <w:rPr>
          <w:rFonts w:hint="eastAsia" w:ascii="Times New Roman" w:hAnsi="Times New Roman" w:cs="Times New Roman"/>
          <w:color w:val="auto"/>
          <w:lang w:val="en-US" w:eastAsia="zh-CN"/>
        </w:rPr>
        <w:t>跨境贸易</w:t>
      </w:r>
      <w:r>
        <w:rPr>
          <w:rFonts w:hint="eastAsia" w:ascii="Times New Roman" w:hAnsi="Times New Roman" w:cs="Times New Roman"/>
          <w:color w:val="auto"/>
          <w:lang w:eastAsia="zh-CN"/>
        </w:rPr>
        <w:t>“</w:t>
      </w:r>
      <w:r>
        <w:rPr>
          <w:rFonts w:hint="default" w:ascii="Times New Roman" w:hAnsi="Times New Roman" w:cs="Times New Roman"/>
          <w:color w:val="auto"/>
        </w:rPr>
        <w:t>单一窗口</w:t>
      </w:r>
      <w:r>
        <w:rPr>
          <w:rFonts w:hint="eastAsia" w:ascii="Times New Roman" w:hAnsi="Times New Roman" w:cs="Times New Roman"/>
          <w:color w:val="auto"/>
          <w:lang w:eastAsia="zh-CN"/>
        </w:rPr>
        <w:t>”</w:t>
      </w:r>
      <w:r>
        <w:rPr>
          <w:rFonts w:hint="default" w:ascii="Times New Roman" w:hAnsi="Times New Roman" w:cs="Times New Roman"/>
          <w:color w:val="auto"/>
        </w:rPr>
        <w:t>业务，丰富宣传、培训形式及渠道，引导外贸企业积极使用</w:t>
      </w:r>
      <w:r>
        <w:rPr>
          <w:rFonts w:hint="eastAsia" w:ascii="Times New Roman" w:hAnsi="Times New Roman" w:cs="Times New Roman"/>
          <w:color w:val="auto"/>
          <w:lang w:eastAsia="zh-CN"/>
        </w:rPr>
        <w:t>“</w:t>
      </w:r>
      <w:r>
        <w:rPr>
          <w:rFonts w:hint="default" w:ascii="Times New Roman" w:hAnsi="Times New Roman" w:cs="Times New Roman"/>
          <w:color w:val="auto"/>
        </w:rPr>
        <w:t>单一窗口</w:t>
      </w:r>
      <w:r>
        <w:rPr>
          <w:rFonts w:hint="eastAsia" w:ascii="Times New Roman" w:hAnsi="Times New Roman" w:cs="Times New Roman"/>
          <w:color w:val="auto"/>
          <w:lang w:eastAsia="zh-CN"/>
        </w:rPr>
        <w:t>”</w:t>
      </w:r>
      <w:r>
        <w:rPr>
          <w:rFonts w:hint="default" w:ascii="Times New Roman" w:hAnsi="Times New Roman" w:cs="Times New Roman"/>
          <w:color w:val="auto"/>
        </w:rPr>
        <w:t>办理跨</w:t>
      </w:r>
      <w:r>
        <w:rPr>
          <w:rFonts w:hint="default" w:ascii="Times New Roman" w:hAnsi="Times New Roman" w:cs="Times New Roman"/>
          <w:color w:val="auto"/>
          <w:highlight w:val="none"/>
        </w:rPr>
        <w:t>境贸易全业务。收集反馈企业在应用中的意见建议，做好沟通协调和意见反馈，进一步完善平台相关功能。</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val="en-US" w:eastAsia="zh-CN"/>
        </w:rPr>
        <w:t>区商务局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2F76F990">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2</w:t>
      </w:r>
      <w:r>
        <w:rPr>
          <w:rFonts w:hint="eastAsia" w:ascii="Times New Roman" w:hAnsi="Times New Roman" w:cs="Times New Roman"/>
          <w:color w:val="auto"/>
          <w:lang w:val="en-US" w:eastAsia="zh-CN"/>
        </w:rPr>
        <w:t>0</w:t>
      </w:r>
      <w:r>
        <w:rPr>
          <w:rFonts w:hint="default" w:ascii="Times New Roman" w:hAnsi="Times New Roman" w:cs="Times New Roman"/>
          <w:color w:val="auto"/>
        </w:rPr>
        <w:t>.</w:t>
      </w:r>
      <w:r>
        <w:rPr>
          <w:rFonts w:hint="default" w:ascii="Times New Roman" w:hAnsi="Times New Roman" w:cs="Times New Roman"/>
          <w:color w:val="auto"/>
          <w:highlight w:val="none"/>
        </w:rPr>
        <w:t>宣传海关查验作业模式，密切联系随州海关，积极配合开展相关业务，帮助企业快速通关，力争实现进出口申报货运量增长10%以上。</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val="en-US" w:eastAsia="zh-CN"/>
        </w:rPr>
        <w:t>区</w:t>
      </w:r>
      <w:r>
        <w:rPr>
          <w:rFonts w:hint="default" w:ascii="楷体_GB2312" w:hAnsi="楷体_GB2312" w:eastAsia="楷体_GB2312" w:cs="楷体_GB2312"/>
          <w:color w:val="auto"/>
        </w:rPr>
        <w:t>商务</w:t>
      </w:r>
      <w:r>
        <w:rPr>
          <w:rFonts w:hint="eastAsia" w:ascii="楷体_GB2312" w:hAnsi="楷体_GB2312" w:eastAsia="楷体_GB2312" w:cs="楷体_GB2312"/>
          <w:color w:val="auto"/>
          <w:lang w:eastAsia="zh-CN"/>
        </w:rPr>
        <w:t>局、区税务局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527DAF1A">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lang w:val="en-US" w:eastAsia="zh-CN"/>
        </w:rPr>
      </w:pPr>
      <w:r>
        <w:rPr>
          <w:rFonts w:hint="eastAsia" w:ascii="Times New Roman" w:hAnsi="Times New Roman" w:cs="Times New Roman"/>
          <w:color w:val="auto"/>
          <w:lang w:val="en-US" w:eastAsia="zh-CN"/>
        </w:rPr>
        <w:t>21.</w:t>
      </w:r>
      <w:r>
        <w:rPr>
          <w:rFonts w:hint="eastAsia" w:ascii="Times New Roman" w:hAnsi="Times New Roman" w:cs="Times New Roman"/>
          <w:color w:val="auto"/>
          <w:highlight w:val="none"/>
          <w:lang w:val="en-US" w:eastAsia="zh-CN"/>
        </w:rPr>
        <w:t>加大货代市场主体培育力度，降低通关有关代理成本。通过专题调研、委托第三方研究等方式，对市场主体跨境贸易成本进行全链条梳理，提出具体控制成本举措</w:t>
      </w:r>
      <w:r>
        <w:rPr>
          <w:rFonts w:hint="eastAsia" w:ascii="Times New Roman" w:hAnsi="Times New Roman" w:cs="Times New Roman"/>
          <w:color w:val="auto"/>
          <w:lang w:val="en-US" w:eastAsia="zh-CN"/>
        </w:rPr>
        <w:t>。</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val="en-US" w:eastAsia="zh-CN"/>
        </w:rPr>
        <w:t>区</w:t>
      </w:r>
      <w:r>
        <w:rPr>
          <w:rFonts w:hint="eastAsia" w:ascii="楷体_GB2312" w:hAnsi="楷体_GB2312" w:eastAsia="楷体_GB2312" w:cs="楷体_GB2312"/>
          <w:color w:val="auto"/>
          <w:lang w:eastAsia="zh-CN"/>
        </w:rPr>
        <w:t>商务局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6A7DA69D">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黑体" w:hAnsi="黑体" w:eastAsia="黑体" w:cs="黑体"/>
          <w:color w:val="auto"/>
        </w:rPr>
      </w:pPr>
      <w:r>
        <w:rPr>
          <w:rFonts w:hint="default" w:ascii="黑体" w:hAnsi="黑体" w:eastAsia="黑体" w:cs="黑体"/>
          <w:color w:val="auto"/>
        </w:rPr>
        <w:t>八、降低税费成本</w:t>
      </w:r>
    </w:p>
    <w:p w14:paraId="5E00C517">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2</w:t>
      </w:r>
      <w:r>
        <w:rPr>
          <w:rFonts w:hint="eastAsia" w:ascii="Times New Roman" w:hAnsi="Times New Roman" w:cs="Times New Roman"/>
          <w:color w:val="auto"/>
          <w:lang w:val="en-US" w:eastAsia="zh-CN"/>
        </w:rPr>
        <w:t>2</w:t>
      </w:r>
      <w:r>
        <w:rPr>
          <w:rFonts w:hint="default" w:ascii="Times New Roman" w:hAnsi="Times New Roman" w:cs="Times New Roman"/>
          <w:color w:val="auto"/>
        </w:rPr>
        <w:t>.全面落实组合式税费支持政策</w:t>
      </w:r>
      <w:r>
        <w:rPr>
          <w:rFonts w:hint="eastAsia" w:ascii="Times New Roman" w:hAnsi="Times New Roman" w:cs="Times New Roman"/>
          <w:color w:val="auto"/>
          <w:lang w:eastAsia="zh-CN"/>
        </w:rPr>
        <w:t>，</w:t>
      </w:r>
      <w:r>
        <w:rPr>
          <w:rFonts w:hint="default" w:ascii="Times New Roman" w:hAnsi="Times New Roman" w:cs="Times New Roman"/>
          <w:color w:val="auto"/>
        </w:rPr>
        <w:t>优化小微企业诉求收集和快速响应机制</w:t>
      </w:r>
      <w:r>
        <w:rPr>
          <w:rFonts w:hint="eastAsia" w:ascii="Times New Roman" w:hAnsi="Times New Roman" w:cs="Times New Roman"/>
          <w:color w:val="auto"/>
          <w:lang w:eastAsia="zh-CN"/>
        </w:rPr>
        <w:t>。</w:t>
      </w:r>
      <w:r>
        <w:rPr>
          <w:rFonts w:hint="default" w:ascii="Times New Roman" w:hAnsi="Times New Roman" w:cs="Times New Roman"/>
          <w:color w:val="auto"/>
        </w:rPr>
        <w:t>利用税收大数据进一步优化标签体系，精准锁定政策适用企业，通过精准推送机制将最新的税费政策准确推送至纳税人缴费人</w:t>
      </w:r>
      <w:r>
        <w:rPr>
          <w:rFonts w:hint="eastAsia" w:ascii="Times New Roman" w:hAnsi="Times New Roman" w:cs="Times New Roman"/>
          <w:color w:val="auto"/>
          <w:lang w:eastAsia="zh-CN"/>
        </w:rPr>
        <w:t>，</w:t>
      </w:r>
      <w:r>
        <w:rPr>
          <w:rFonts w:hint="default" w:ascii="Times New Roman" w:hAnsi="Times New Roman" w:cs="Times New Roman"/>
          <w:color w:val="auto"/>
        </w:rPr>
        <w:t>确保符合条件的纳税人缴费人应知尽知、应享尽享，充分释放税费支持政策效应</w:t>
      </w:r>
      <w:r>
        <w:rPr>
          <w:rFonts w:hint="eastAsia" w:ascii="Times New Roman" w:hAnsi="Times New Roman" w:cs="Times New Roman"/>
          <w:color w:val="auto"/>
          <w:lang w:eastAsia="zh-CN"/>
        </w:rPr>
        <w:t>。</w:t>
      </w:r>
      <w:r>
        <w:rPr>
          <w:rFonts w:hint="default" w:ascii="Times New Roman" w:hAnsi="Times New Roman" w:cs="Times New Roman"/>
          <w:color w:val="auto"/>
        </w:rPr>
        <w:t>推动金融机构减费让利，实现小微企业金融开户免收费。</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区税务局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区财政局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val="en-US" w:eastAsia="zh-CN"/>
        </w:rPr>
        <w:t>区金融办</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77596221">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eastAsia" w:ascii="楷体_GB2312" w:hAnsi="楷体_GB2312" w:eastAsia="楷体_GB2312" w:cs="楷体_GB2312"/>
          <w:color w:val="auto"/>
          <w:lang w:eastAsia="zh-CN"/>
        </w:rPr>
      </w:pPr>
      <w:r>
        <w:rPr>
          <w:rFonts w:hint="default" w:ascii="Times New Roman" w:hAnsi="Times New Roman" w:cs="Times New Roman"/>
          <w:color w:val="auto"/>
        </w:rPr>
        <w:t>2</w:t>
      </w:r>
      <w:r>
        <w:rPr>
          <w:rFonts w:hint="eastAsia" w:ascii="Times New Roman" w:hAnsi="Times New Roman" w:cs="Times New Roman"/>
          <w:color w:val="auto"/>
          <w:lang w:val="en-US" w:eastAsia="zh-CN"/>
        </w:rPr>
        <w:t>3</w:t>
      </w:r>
      <w:r>
        <w:rPr>
          <w:rFonts w:hint="default" w:ascii="Times New Roman" w:hAnsi="Times New Roman" w:cs="Times New Roman"/>
          <w:color w:val="auto"/>
        </w:rPr>
        <w:t>.全面清理不规范、不合理、可收可不收、收取比例过高的涉企保证金事项</w:t>
      </w:r>
      <w:r>
        <w:rPr>
          <w:rFonts w:hint="eastAsia" w:ascii="Times New Roman" w:hAnsi="Times New Roman" w:cs="Times New Roman"/>
          <w:color w:val="auto"/>
          <w:lang w:eastAsia="zh-CN"/>
        </w:rPr>
        <w:t>，开展涉企保证金清理自查工作，掌握涉企保证金设立和收取情况，督促及时清退应退未退的沉淀保证金，规范涉企保证金按要求收取。</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区科经局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区财政局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区直有关</w:t>
      </w:r>
      <w:r>
        <w:rPr>
          <w:rFonts w:hint="eastAsia" w:ascii="楷体_GB2312" w:hAnsi="楷体_GB2312" w:eastAsia="楷体_GB2312" w:cs="楷体_GB2312"/>
          <w:color w:val="auto"/>
          <w:lang w:val="en-US" w:eastAsia="zh-CN"/>
        </w:rPr>
        <w:t>部门</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440A9E9A">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eastAsia" w:ascii="Times New Roman" w:hAnsi="Times New Roman" w:cs="Times New Roman"/>
          <w:color w:val="auto"/>
          <w:lang w:val="en-US" w:eastAsia="zh-CN"/>
        </w:rPr>
        <w:t>24.</w:t>
      </w:r>
      <w:r>
        <w:rPr>
          <w:rFonts w:hint="default" w:ascii="Times New Roman" w:hAnsi="Times New Roman" w:cs="Times New Roman"/>
          <w:color w:val="auto"/>
        </w:rPr>
        <w:t>严格落实涉企保证金目录清单制度</w:t>
      </w:r>
      <w:r>
        <w:rPr>
          <w:rFonts w:hint="eastAsia" w:ascii="Times New Roman" w:hAnsi="Times New Roman" w:cs="Times New Roman"/>
          <w:color w:val="auto"/>
          <w:lang w:eastAsia="zh-CN"/>
        </w:rPr>
        <w:t>，</w:t>
      </w:r>
      <w:r>
        <w:rPr>
          <w:rFonts w:hint="default" w:ascii="Times New Roman" w:hAnsi="Times New Roman" w:cs="Times New Roman"/>
          <w:color w:val="auto"/>
        </w:rPr>
        <w:t>对实施非招标的政府采购项目，鼓励免收履约保证金；对实施招标的政府采购项目，货物类和服务类履约保证金的数额不得超过政府采购合同金额的10%。坚决制止清单之外乱收费行为</w:t>
      </w:r>
      <w:r>
        <w:rPr>
          <w:rFonts w:hint="eastAsia" w:ascii="Times New Roman" w:hAnsi="Times New Roman" w:cs="Times New Roman"/>
          <w:color w:val="auto"/>
          <w:lang w:eastAsia="zh-CN"/>
        </w:rPr>
        <w:t>，</w:t>
      </w:r>
      <w:r>
        <w:rPr>
          <w:rFonts w:hint="default" w:ascii="Times New Roman" w:hAnsi="Times New Roman" w:cs="Times New Roman"/>
          <w:color w:val="auto"/>
        </w:rPr>
        <w:t>对各单位清单落实、台账管理、清理清退、优化服务等方面开展调度。</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区科经局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区财政局</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区直有关</w:t>
      </w:r>
      <w:r>
        <w:rPr>
          <w:rFonts w:hint="eastAsia" w:ascii="楷体_GB2312" w:hAnsi="楷体_GB2312" w:eastAsia="楷体_GB2312" w:cs="楷体_GB2312"/>
          <w:color w:val="auto"/>
          <w:lang w:val="en-US" w:eastAsia="zh-CN"/>
        </w:rPr>
        <w:t>部门</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73CFB30B">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黑体" w:hAnsi="黑体" w:eastAsia="黑体" w:cs="黑体"/>
          <w:color w:val="auto"/>
        </w:rPr>
      </w:pPr>
      <w:r>
        <w:rPr>
          <w:rFonts w:hint="default" w:ascii="黑体" w:hAnsi="黑体" w:eastAsia="黑体" w:cs="黑体"/>
          <w:color w:val="auto"/>
        </w:rPr>
        <w:t>九、实现法治公平</w:t>
      </w:r>
    </w:p>
    <w:p w14:paraId="589F6634">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2</w:t>
      </w:r>
      <w:r>
        <w:rPr>
          <w:rFonts w:hint="eastAsia" w:ascii="Times New Roman" w:hAnsi="Times New Roman" w:cs="Times New Roman"/>
          <w:color w:val="auto"/>
          <w:lang w:val="en-US" w:eastAsia="zh-CN"/>
        </w:rPr>
        <w:t>5</w:t>
      </w:r>
      <w:r>
        <w:rPr>
          <w:rFonts w:hint="default" w:ascii="Times New Roman" w:hAnsi="Times New Roman" w:cs="Times New Roman"/>
          <w:color w:val="auto"/>
        </w:rPr>
        <w:t>.推动</w:t>
      </w:r>
      <w:r>
        <w:rPr>
          <w:rFonts w:hint="eastAsia" w:ascii="Times New Roman" w:hAnsi="Times New Roman" w:cs="Times New Roman"/>
          <w:color w:val="auto"/>
          <w:lang w:eastAsia="zh-CN"/>
        </w:rPr>
        <w:t>“</w:t>
      </w:r>
      <w:r>
        <w:rPr>
          <w:rFonts w:hint="default" w:ascii="Times New Roman" w:hAnsi="Times New Roman" w:cs="Times New Roman"/>
          <w:color w:val="auto"/>
        </w:rPr>
        <w:t>立审执</w:t>
      </w:r>
      <w:r>
        <w:rPr>
          <w:rFonts w:hint="eastAsia" w:ascii="Times New Roman" w:hAnsi="Times New Roman" w:cs="Times New Roman"/>
          <w:color w:val="auto"/>
          <w:lang w:eastAsia="zh-CN"/>
        </w:rPr>
        <w:t>”</w:t>
      </w:r>
      <w:r>
        <w:rPr>
          <w:rFonts w:hint="default" w:ascii="Times New Roman" w:hAnsi="Times New Roman" w:cs="Times New Roman"/>
          <w:color w:val="auto"/>
        </w:rPr>
        <w:t>提速增效。符合立案条件的，做到7日内登记立案</w:t>
      </w:r>
      <w:r>
        <w:rPr>
          <w:rFonts w:hint="eastAsia" w:ascii="Times New Roman" w:hAnsi="Times New Roman" w:cs="Times New Roman"/>
          <w:color w:val="auto"/>
          <w:lang w:eastAsia="zh-CN"/>
        </w:rPr>
        <w:t>。加速涉企程序性审查案件“加减法”改革，对材料齐全、符合立案条件的案件一般应在3个工作日内登记立案，最长不超过5日。</w:t>
      </w:r>
      <w:r>
        <w:rPr>
          <w:rFonts w:hint="default" w:ascii="Times New Roman" w:hAnsi="Times New Roman" w:cs="Times New Roman"/>
          <w:color w:val="auto"/>
        </w:rPr>
        <w:t>安排专人负责审核在线立案，常态化开展不立案专项整治，对不立案投诉及差评，逐一整改销号。</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区法院</w:t>
      </w:r>
      <w:r>
        <w:rPr>
          <w:rFonts w:hint="default" w:ascii="楷体_GB2312" w:hAnsi="楷体_GB2312" w:eastAsia="楷体_GB2312" w:cs="楷体_GB2312"/>
          <w:color w:val="auto"/>
        </w:rPr>
        <w:t>)</w:t>
      </w:r>
    </w:p>
    <w:p w14:paraId="1D850749">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eastAsia" w:ascii="Times New Roman" w:hAnsi="Times New Roman" w:cs="Times New Roman"/>
          <w:color w:val="auto"/>
          <w:highlight w:val="none"/>
          <w:lang w:val="en-US" w:eastAsia="zh-CN"/>
        </w:rPr>
        <w:t>26.</w:t>
      </w:r>
      <w:r>
        <w:rPr>
          <w:rFonts w:hint="default" w:ascii="Times New Roman" w:hAnsi="Times New Roman" w:cs="Times New Roman"/>
          <w:color w:val="auto"/>
          <w:highlight w:val="none"/>
        </w:rPr>
        <w:t>严格规范审限管理，加快案件材料流转工作</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严格落实上诉案件一般自答辩期满5日内移送二审法院。提升案件执行效能，实现具备</w:t>
      </w:r>
      <w:r>
        <w:rPr>
          <w:rFonts w:hint="default" w:ascii="Times New Roman" w:hAnsi="Times New Roman" w:cs="Times New Roman"/>
          <w:color w:val="auto"/>
          <w:highlight w:val="none"/>
          <w:shd w:val="clear"/>
        </w:rPr>
        <w:t>条件的案款在法院收到后15</w:t>
      </w:r>
      <w:r>
        <w:rPr>
          <w:rFonts w:hint="eastAsia" w:ascii="Times New Roman" w:hAnsi="Times New Roman" w:cs="Times New Roman"/>
          <w:color w:val="auto"/>
          <w:highlight w:val="none"/>
          <w:shd w:val="clear"/>
          <w:lang w:val="en-US" w:eastAsia="zh-CN"/>
        </w:rPr>
        <w:t>个工作</w:t>
      </w:r>
      <w:r>
        <w:rPr>
          <w:rFonts w:hint="default" w:ascii="Times New Roman" w:hAnsi="Times New Roman" w:cs="Times New Roman"/>
          <w:color w:val="auto"/>
          <w:highlight w:val="none"/>
          <w:shd w:val="clear"/>
        </w:rPr>
        <w:t>日内发放。</w:t>
      </w:r>
      <w:r>
        <w:rPr>
          <w:rFonts w:hint="eastAsia" w:ascii="Times New Roman" w:hAnsi="Times New Roman" w:cs="Times New Roman"/>
          <w:color w:val="auto"/>
          <w:highlight w:val="none"/>
          <w:shd w:val="clear"/>
          <w:lang w:val="en-US" w:eastAsia="zh-CN"/>
        </w:rPr>
        <w:t>落实</w:t>
      </w:r>
      <w:r>
        <w:rPr>
          <w:rFonts w:hint="default" w:ascii="Times New Roman" w:hAnsi="Times New Roman" w:cs="Times New Roman"/>
          <w:color w:val="auto"/>
          <w:highlight w:val="none"/>
          <w:shd w:val="clear"/>
        </w:rPr>
        <w:t>《随州市中级人民法院优化法治化营商环境的十一条举措》，2023年实现全</w:t>
      </w:r>
      <w:r>
        <w:rPr>
          <w:rFonts w:hint="eastAsia" w:ascii="Times New Roman" w:hAnsi="Times New Roman" w:cs="Times New Roman"/>
          <w:color w:val="auto"/>
          <w:highlight w:val="none"/>
          <w:shd w:val="clear"/>
          <w:lang w:val="en-US" w:eastAsia="zh-CN"/>
        </w:rPr>
        <w:t>区</w:t>
      </w:r>
      <w:r>
        <w:rPr>
          <w:rFonts w:hint="default" w:ascii="Times New Roman" w:hAnsi="Times New Roman" w:cs="Times New Roman"/>
          <w:color w:val="auto"/>
          <w:highlight w:val="none"/>
          <w:shd w:val="clear"/>
        </w:rPr>
        <w:t>解决商业纠纷平均耗时较上年压缩10%</w:t>
      </w:r>
      <w:r>
        <w:rPr>
          <w:rFonts w:hint="eastAsia" w:ascii="Times New Roman" w:hAnsi="Times New Roman" w:cs="Times New Roman"/>
          <w:color w:val="auto"/>
          <w:highlight w:val="none"/>
          <w:shd w:val="clear"/>
          <w:lang w:eastAsia="zh-CN"/>
        </w:rPr>
        <w:t>以上</w:t>
      </w:r>
      <w:r>
        <w:rPr>
          <w:rFonts w:hint="default" w:ascii="Times New Roman" w:hAnsi="Times New Roman" w:cs="Times New Roman"/>
          <w:color w:val="auto"/>
          <w:highlight w:val="none"/>
          <w:shd w:val="clear"/>
        </w:rPr>
        <w:t>。</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区法院</w:t>
      </w:r>
      <w:r>
        <w:rPr>
          <w:rFonts w:hint="default" w:ascii="楷体_GB2312" w:hAnsi="楷体_GB2312" w:eastAsia="楷体_GB2312" w:cs="楷体_GB2312"/>
          <w:color w:val="auto"/>
        </w:rPr>
        <w:t>)</w:t>
      </w:r>
    </w:p>
    <w:p w14:paraId="149444B1">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default" w:ascii="Times New Roman" w:hAnsi="Times New Roman" w:cs="Times New Roman"/>
          <w:color w:val="auto"/>
        </w:rPr>
        <w:t>2</w:t>
      </w:r>
      <w:r>
        <w:rPr>
          <w:rFonts w:hint="eastAsia" w:ascii="Times New Roman" w:hAnsi="Times New Roman" w:cs="Times New Roman"/>
          <w:color w:val="auto"/>
          <w:lang w:val="en-US" w:eastAsia="zh-CN"/>
        </w:rPr>
        <w:t>7</w:t>
      </w:r>
      <w:r>
        <w:rPr>
          <w:rFonts w:hint="default" w:ascii="Times New Roman" w:hAnsi="Times New Roman" w:cs="Times New Roman"/>
          <w:color w:val="auto"/>
        </w:rPr>
        <w:t>.全面推行涉企案件经济影响评估制度，在审判机关立案、保全、审理、执行、司法公开、审限管理和检察机关法律监督各环节，</w:t>
      </w:r>
      <w:r>
        <w:rPr>
          <w:rFonts w:hint="default" w:ascii="Times New Roman" w:hAnsi="Times New Roman" w:cs="Times New Roman"/>
          <w:color w:val="auto"/>
          <w:shd w:val="clear"/>
        </w:rPr>
        <w:t>确保涉企案件在线评估率不低于90%。</w:t>
      </w:r>
      <w:r>
        <w:rPr>
          <w:rFonts w:hint="default" w:ascii="Times New Roman" w:hAnsi="Times New Roman" w:cs="Times New Roman"/>
          <w:color w:val="auto"/>
        </w:rPr>
        <w:t>对涉案企业生产经营可能受到的影响进行分析、评估并作出有效防范和处置</w:t>
      </w:r>
      <w:r>
        <w:rPr>
          <w:rFonts w:hint="eastAsia" w:ascii="Times New Roman" w:hAnsi="Times New Roman" w:cs="Times New Roman"/>
          <w:color w:val="auto"/>
          <w:lang w:eastAsia="zh-CN"/>
        </w:rPr>
        <w:t>，</w:t>
      </w:r>
      <w:r>
        <w:rPr>
          <w:rFonts w:hint="default" w:ascii="Times New Roman" w:hAnsi="Times New Roman" w:cs="Times New Roman"/>
          <w:color w:val="auto"/>
        </w:rPr>
        <w:t>保证涉企案件经济影响评估制度案件化、规范化、科学化，并常态化地开展检查监督。</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区法院</w:t>
      </w:r>
      <w:r>
        <w:rPr>
          <w:rFonts w:hint="default" w:ascii="楷体_GB2312" w:hAnsi="楷体_GB2312" w:eastAsia="楷体_GB2312" w:cs="楷体_GB2312"/>
          <w:color w:val="auto"/>
        </w:rPr>
        <w:t>、</w:t>
      </w:r>
      <w:r>
        <w:rPr>
          <w:rFonts w:hint="eastAsia" w:ascii="楷体_GB2312" w:hAnsi="楷体_GB2312" w:eastAsia="楷体_GB2312" w:cs="楷体_GB2312"/>
          <w:color w:val="auto"/>
          <w:lang w:val="en-US" w:eastAsia="zh-CN"/>
        </w:rPr>
        <w:t>区</w:t>
      </w:r>
      <w:r>
        <w:rPr>
          <w:rFonts w:hint="default" w:ascii="楷体_GB2312" w:hAnsi="楷体_GB2312" w:eastAsia="楷体_GB2312" w:cs="楷体_GB2312"/>
          <w:color w:val="auto"/>
        </w:rPr>
        <w:t>检察院)</w:t>
      </w:r>
    </w:p>
    <w:p w14:paraId="2F5C6430">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eastAsia" w:ascii="Times New Roman" w:hAnsi="Times New Roman" w:cs="Times New Roman"/>
          <w:color w:val="auto"/>
          <w:lang w:val="en-US" w:eastAsia="zh-CN"/>
        </w:rPr>
        <w:t>28</w:t>
      </w:r>
      <w:r>
        <w:rPr>
          <w:rFonts w:hint="default" w:ascii="Times New Roman" w:hAnsi="Times New Roman" w:cs="Times New Roman"/>
          <w:color w:val="auto"/>
        </w:rPr>
        <w:t>.深化涉案企业合规改革，符合合规机制适用条件的案件及时纳入合规程序办理，</w:t>
      </w:r>
      <w:r>
        <w:rPr>
          <w:rFonts w:hint="eastAsia" w:ascii="Times New Roman" w:hAnsi="Times New Roman" w:cs="Times New Roman"/>
          <w:color w:val="auto"/>
          <w:lang w:eastAsia="zh-CN"/>
        </w:rPr>
        <w:t>做到“能用尽用”。</w:t>
      </w:r>
      <w:r>
        <w:rPr>
          <w:rFonts w:hint="default" w:ascii="Times New Roman" w:hAnsi="Times New Roman" w:cs="Times New Roman"/>
          <w:color w:val="auto"/>
        </w:rPr>
        <w:t>根据需要启动第三方监督评估机制的，对涉案企业的合规承诺、整改情况进行调查、评估、监督和考察。</w:t>
      </w:r>
      <w:r>
        <w:rPr>
          <w:rFonts w:hint="eastAsia" w:ascii="Times New Roman" w:hAnsi="Times New Roman" w:cs="Times New Roman"/>
          <w:color w:val="auto"/>
          <w:lang w:eastAsia="zh-CN"/>
        </w:rPr>
        <w:t>对启动合规考察模式案件的关键环节开展检察听证，充分听取各方意见，依法审慎对案件作出处理决定。</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val="en-US" w:eastAsia="zh-CN"/>
        </w:rPr>
        <w:t>区</w:t>
      </w:r>
      <w:r>
        <w:rPr>
          <w:rFonts w:hint="default" w:ascii="楷体_GB2312" w:hAnsi="楷体_GB2312" w:eastAsia="楷体_GB2312" w:cs="楷体_GB2312"/>
          <w:color w:val="auto"/>
        </w:rPr>
        <w:t>检察院)</w:t>
      </w:r>
    </w:p>
    <w:p w14:paraId="0621D8E3">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eastAsia" w:ascii="Times New Roman" w:hAnsi="Times New Roman" w:cs="Times New Roman"/>
          <w:color w:val="auto"/>
          <w:lang w:val="en-US" w:eastAsia="zh-CN"/>
        </w:rPr>
        <w:t>29</w:t>
      </w:r>
      <w:r>
        <w:rPr>
          <w:rFonts w:hint="default" w:ascii="Times New Roman" w:hAnsi="Times New Roman" w:cs="Times New Roman"/>
          <w:color w:val="auto"/>
        </w:rPr>
        <w:t>.重点实施知识产权服务产业高质量发展</w:t>
      </w:r>
      <w:r>
        <w:rPr>
          <w:rFonts w:hint="eastAsia" w:ascii="Times New Roman" w:hAnsi="Times New Roman" w:cs="Times New Roman"/>
          <w:color w:val="auto"/>
          <w:lang w:eastAsia="zh-CN"/>
        </w:rPr>
        <w:t>“</w:t>
      </w:r>
      <w:r>
        <w:rPr>
          <w:rFonts w:hint="default" w:ascii="Times New Roman" w:hAnsi="Times New Roman" w:cs="Times New Roman"/>
          <w:color w:val="auto"/>
        </w:rPr>
        <w:t>五大专项行动</w:t>
      </w:r>
      <w:r>
        <w:rPr>
          <w:rFonts w:hint="eastAsia" w:ascii="Times New Roman" w:hAnsi="Times New Roman" w:cs="Times New Roman"/>
          <w:color w:val="auto"/>
          <w:lang w:eastAsia="zh-CN"/>
        </w:rPr>
        <w:t>”，协助市级加强知识产权多元解纷机制构建</w:t>
      </w:r>
      <w:r>
        <w:rPr>
          <w:rFonts w:hint="default" w:ascii="Times New Roman" w:hAnsi="Times New Roman" w:cs="Times New Roman"/>
          <w:color w:val="auto"/>
        </w:rPr>
        <w:t>。推进知识产权保护工作站建设。</w:t>
      </w:r>
      <w:r>
        <w:rPr>
          <w:rFonts w:hint="eastAsia" w:ascii="仿宋" w:hAnsi="仿宋" w:eastAsia="仿宋" w:cs="仿宋"/>
          <w:color w:val="auto"/>
          <w:sz w:val="32"/>
          <w:szCs w:val="32"/>
          <w:lang w:val="en-US" w:eastAsia="zh-CN"/>
        </w:rPr>
        <w:t>认真落实“百县万企”知识产权大培训活动，为企业培养一批知识产权专员。</w:t>
      </w:r>
      <w:r>
        <w:rPr>
          <w:rFonts w:hint="default" w:ascii="Times New Roman" w:hAnsi="Times New Roman" w:cs="Times New Roman"/>
          <w:color w:val="auto"/>
        </w:rPr>
        <w:t>探索知识产权检察职能集中统一履行</w:t>
      </w:r>
      <w:r>
        <w:rPr>
          <w:rFonts w:hint="eastAsia" w:ascii="Times New Roman" w:hAnsi="Times New Roman" w:cs="Times New Roman"/>
          <w:color w:val="auto"/>
          <w:lang w:eastAsia="zh-CN"/>
        </w:rPr>
        <w:t>，有效提升检察机关知识产权司法保护水平</w:t>
      </w:r>
      <w:r>
        <w:rPr>
          <w:rFonts w:hint="default" w:ascii="Times New Roman" w:hAnsi="Times New Roman" w:cs="Times New Roman"/>
          <w:color w:val="auto"/>
        </w:rPr>
        <w:t>。</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区市场监管局</w:t>
      </w:r>
      <w:r>
        <w:rPr>
          <w:rFonts w:hint="default" w:ascii="楷体_GB2312" w:hAnsi="楷体_GB2312" w:eastAsia="楷体_GB2312" w:cs="楷体_GB2312"/>
          <w:color w:val="auto"/>
        </w:rPr>
        <w:t>、</w:t>
      </w:r>
      <w:r>
        <w:rPr>
          <w:rFonts w:hint="eastAsia" w:ascii="楷体_GB2312" w:hAnsi="楷体_GB2312" w:eastAsia="楷体_GB2312" w:cs="楷体_GB2312"/>
          <w:color w:val="auto"/>
          <w:lang w:eastAsia="zh-CN"/>
        </w:rPr>
        <w:t>区法院</w:t>
      </w:r>
      <w:r>
        <w:rPr>
          <w:rFonts w:hint="default" w:ascii="楷体_GB2312" w:hAnsi="楷体_GB2312" w:eastAsia="楷体_GB2312" w:cs="楷体_GB2312"/>
          <w:color w:val="auto"/>
        </w:rPr>
        <w:t>、</w:t>
      </w:r>
      <w:r>
        <w:rPr>
          <w:rFonts w:hint="eastAsia" w:ascii="楷体_GB2312" w:hAnsi="楷体_GB2312" w:eastAsia="楷体_GB2312" w:cs="楷体_GB2312"/>
          <w:color w:val="auto"/>
          <w:lang w:val="en-US" w:eastAsia="zh-CN"/>
        </w:rPr>
        <w:t>区</w:t>
      </w:r>
      <w:r>
        <w:rPr>
          <w:rFonts w:hint="default" w:ascii="楷体_GB2312" w:hAnsi="楷体_GB2312" w:eastAsia="楷体_GB2312" w:cs="楷体_GB2312"/>
          <w:color w:val="auto"/>
        </w:rPr>
        <w:t>检察院)</w:t>
      </w:r>
    </w:p>
    <w:p w14:paraId="7F0B8192">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eastAsia" w:ascii="Times New Roman" w:hAnsi="Times New Roman" w:cs="Times New Roman"/>
          <w:color w:val="auto"/>
          <w:lang w:val="en-US" w:eastAsia="zh-CN"/>
        </w:rPr>
        <w:t>30</w:t>
      </w:r>
      <w:r>
        <w:rPr>
          <w:rFonts w:hint="default" w:ascii="Times New Roman" w:hAnsi="Times New Roman" w:cs="Times New Roman"/>
          <w:color w:val="auto"/>
        </w:rPr>
        <w:t>.深化“府院联动”机制，打造“专人专案”团队，共同推进破产案件审理。</w:t>
      </w:r>
      <w:r>
        <w:rPr>
          <w:rFonts w:hint="eastAsia" w:ascii="Times New Roman" w:hAnsi="Times New Roman" w:cs="Times New Roman"/>
          <w:color w:val="auto"/>
          <w:lang w:val="en-US" w:eastAsia="zh-CN"/>
        </w:rPr>
        <w:t>全面落实</w:t>
      </w:r>
      <w:r>
        <w:rPr>
          <w:rFonts w:hint="default" w:ascii="Times New Roman" w:hAnsi="Times New Roman" w:cs="Times New Roman"/>
          <w:color w:val="auto"/>
        </w:rPr>
        <w:t>破产债权争议</w:t>
      </w:r>
      <w:r>
        <w:rPr>
          <w:rFonts w:hint="eastAsia" w:ascii="Times New Roman" w:hAnsi="Times New Roman" w:cs="Times New Roman"/>
          <w:color w:val="auto"/>
          <w:lang w:val="en-US" w:eastAsia="zh-CN"/>
        </w:rPr>
        <w:t>诉讼</w:t>
      </w:r>
      <w:r>
        <w:rPr>
          <w:rFonts w:hint="default" w:ascii="Times New Roman" w:hAnsi="Times New Roman" w:cs="Times New Roman"/>
          <w:color w:val="auto"/>
        </w:rPr>
        <w:t>每件收费100元。加强破产审判信息化建设，全部破产案件录入信息网，完善破产财产网拍机制，推动实现全区破产财产线上处置，拍卖费用零支出。</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eastAsia="zh-CN"/>
        </w:rPr>
        <w:t>区法院</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曾都区企业破产处置协调工作机制成员单位</w:t>
      </w:r>
      <w:r>
        <w:rPr>
          <w:rFonts w:hint="default" w:ascii="楷体_GB2312" w:hAnsi="楷体_GB2312" w:eastAsia="楷体_GB2312" w:cs="楷体_GB2312"/>
          <w:color w:val="auto"/>
        </w:rPr>
        <w:t>)</w:t>
      </w:r>
    </w:p>
    <w:p w14:paraId="6AC1A7EB">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黑体" w:hAnsi="黑体" w:eastAsia="黑体" w:cs="黑体"/>
          <w:color w:val="auto"/>
        </w:rPr>
      </w:pPr>
      <w:r>
        <w:rPr>
          <w:rFonts w:hint="default" w:ascii="黑体" w:hAnsi="黑体" w:eastAsia="黑体" w:cs="黑体"/>
          <w:color w:val="auto"/>
        </w:rPr>
        <w:t>十、加强作风建设</w:t>
      </w:r>
    </w:p>
    <w:p w14:paraId="372EE493">
      <w:pPr>
        <w:keepNext w:val="0"/>
        <w:keepLines w:val="0"/>
        <w:pageBreakBefore w:val="0"/>
        <w:widowControl w:val="0"/>
        <w:shd w:val="clear"/>
        <w:kinsoku/>
        <w:wordWrap/>
        <w:overflowPunct/>
        <w:topLinePunct w:val="0"/>
        <w:autoSpaceDE w:val="0"/>
        <w:autoSpaceDN w:val="0"/>
        <w:bidi w:val="0"/>
        <w:adjustRightInd/>
        <w:snapToGrid/>
        <w:spacing w:line="580" w:lineRule="exact"/>
        <w:ind w:firstLine="624" w:firstLineChars="200"/>
        <w:jc w:val="both"/>
        <w:textAlignment w:val="baseline"/>
        <w:rPr>
          <w:rFonts w:hint="default" w:ascii="楷体_GB2312" w:hAnsi="楷体_GB2312" w:eastAsia="楷体_GB2312" w:cs="楷体_GB2312"/>
          <w:color w:val="auto"/>
        </w:rPr>
      </w:pPr>
      <w:r>
        <w:rPr>
          <w:rFonts w:hint="eastAsia" w:ascii="Times New Roman" w:hAnsi="Times New Roman" w:cs="Times New Roman"/>
          <w:color w:val="auto"/>
          <w:lang w:val="en-US" w:eastAsia="zh-CN"/>
        </w:rPr>
        <w:t>31</w:t>
      </w:r>
      <w:r>
        <w:rPr>
          <w:rFonts w:hint="default" w:ascii="Times New Roman" w:hAnsi="Times New Roman" w:cs="Times New Roman"/>
          <w:color w:val="auto"/>
        </w:rPr>
        <w:t>.</w:t>
      </w:r>
      <w:r>
        <w:rPr>
          <w:rFonts w:hint="eastAsia" w:ascii="Times New Roman" w:hAnsi="Times New Roman" w:cs="Times New Roman"/>
          <w:color w:val="auto"/>
          <w:lang w:eastAsia="zh-CN"/>
        </w:rPr>
        <w:t>要</w:t>
      </w:r>
      <w:r>
        <w:rPr>
          <w:rFonts w:hint="default" w:ascii="Times New Roman" w:hAnsi="Times New Roman" w:cs="Times New Roman"/>
          <w:color w:val="auto"/>
        </w:rPr>
        <w:t>强化责任担当，各地各部门主要负责同志要落实第一责任人责任，结合实际细化</w:t>
      </w:r>
      <w:r>
        <w:rPr>
          <w:rFonts w:hint="eastAsia" w:ascii="Times New Roman" w:hAnsi="Times New Roman" w:cs="Times New Roman"/>
          <w:color w:val="auto"/>
          <w:lang w:val="en-US" w:eastAsia="zh-CN"/>
        </w:rPr>
        <w:t>工作</w:t>
      </w:r>
      <w:r>
        <w:rPr>
          <w:rFonts w:hint="default" w:ascii="Times New Roman" w:hAnsi="Times New Roman" w:cs="Times New Roman"/>
          <w:color w:val="auto"/>
        </w:rPr>
        <w:t>方案</w:t>
      </w:r>
      <w:r>
        <w:rPr>
          <w:rFonts w:hint="eastAsia" w:ascii="Times New Roman" w:hAnsi="Times New Roman" w:cs="Times New Roman"/>
          <w:color w:val="auto"/>
          <w:lang w:val="en-US" w:eastAsia="zh-CN"/>
        </w:rPr>
        <w:t>和责任</w:t>
      </w:r>
      <w:r>
        <w:rPr>
          <w:rFonts w:hint="default" w:ascii="Times New Roman" w:hAnsi="Times New Roman" w:cs="Times New Roman"/>
          <w:color w:val="auto"/>
        </w:rPr>
        <w:t>股室</w:t>
      </w:r>
      <w:r>
        <w:rPr>
          <w:rFonts w:hint="eastAsia" w:ascii="Times New Roman" w:hAnsi="Times New Roman" w:cs="Times New Roman"/>
          <w:color w:val="auto"/>
          <w:lang w:eastAsia="zh-CN"/>
        </w:rPr>
        <w:t>，</w:t>
      </w:r>
      <w:r>
        <w:rPr>
          <w:rFonts w:hint="default" w:ascii="Times New Roman" w:hAnsi="Times New Roman" w:cs="Times New Roman"/>
          <w:color w:val="auto"/>
        </w:rPr>
        <w:t>推动</w:t>
      </w:r>
      <w:r>
        <w:rPr>
          <w:rFonts w:hint="eastAsia" w:ascii="Times New Roman" w:hAnsi="Times New Roman" w:cs="Times New Roman"/>
          <w:color w:val="auto"/>
          <w:lang w:val="en-US" w:eastAsia="zh-CN"/>
        </w:rPr>
        <w:t>优化</w:t>
      </w:r>
      <w:r>
        <w:rPr>
          <w:rFonts w:hint="default" w:ascii="Times New Roman" w:hAnsi="Times New Roman" w:cs="Times New Roman"/>
          <w:color w:val="auto"/>
        </w:rPr>
        <w:t>营商环境任务压实、责任上肩。区营商办要加强统筹协调，紧盯重点工作推进情况定期调度</w:t>
      </w:r>
      <w:r>
        <w:rPr>
          <w:rFonts w:hint="eastAsia" w:ascii="Times New Roman" w:hAnsi="Times New Roman" w:cs="Times New Roman"/>
          <w:color w:val="auto"/>
          <w:lang w:eastAsia="zh-CN"/>
        </w:rPr>
        <w:t>，</w:t>
      </w:r>
      <w:r>
        <w:rPr>
          <w:rFonts w:hint="default" w:ascii="Times New Roman" w:hAnsi="Times New Roman" w:cs="Times New Roman"/>
          <w:color w:val="auto"/>
        </w:rPr>
        <w:t>会同区政府政务督查室开展优化营商环境工作</w:t>
      </w:r>
      <w:r>
        <w:rPr>
          <w:rFonts w:hint="eastAsia" w:ascii="Times New Roman" w:hAnsi="Times New Roman" w:cs="Times New Roman"/>
          <w:color w:val="auto"/>
          <w:lang w:val="en-US" w:eastAsia="zh-CN"/>
        </w:rPr>
        <w:t>督查考核</w:t>
      </w:r>
      <w:r>
        <w:rPr>
          <w:rFonts w:hint="default" w:ascii="Times New Roman" w:hAnsi="Times New Roman" w:cs="Times New Roman"/>
          <w:color w:val="auto"/>
        </w:rPr>
        <w:t>，推动工作执行与政策落实。严肃工作纪律，</w:t>
      </w:r>
      <w:r>
        <w:rPr>
          <w:rFonts w:hint="eastAsia" w:ascii="Times New Roman" w:hAnsi="Times New Roman" w:cs="Times New Roman"/>
          <w:color w:val="auto"/>
          <w:lang w:val="en-US" w:eastAsia="zh-CN"/>
        </w:rPr>
        <w:t>健全</w:t>
      </w:r>
      <w:r>
        <w:rPr>
          <w:rFonts w:hint="default" w:ascii="Times New Roman" w:hAnsi="Times New Roman" w:cs="Times New Roman"/>
          <w:color w:val="auto"/>
        </w:rPr>
        <w:t>问题线索移送工作机制</w:t>
      </w:r>
      <w:r>
        <w:rPr>
          <w:rFonts w:hint="eastAsia" w:ascii="Times New Roman" w:hAnsi="Times New Roman" w:cs="Times New Roman"/>
          <w:color w:val="auto"/>
          <w:lang w:eastAsia="zh-CN"/>
        </w:rPr>
        <w:t>，</w:t>
      </w:r>
      <w:r>
        <w:rPr>
          <w:rFonts w:hint="default" w:ascii="Times New Roman" w:hAnsi="Times New Roman" w:cs="Times New Roman"/>
          <w:color w:val="auto"/>
        </w:rPr>
        <w:t>会同区纪委监委机关开展优化营商环境专项整治，紧盯市场主体反映强烈的</w:t>
      </w:r>
      <w:r>
        <w:rPr>
          <w:rFonts w:hint="eastAsia" w:ascii="Times New Roman" w:hAnsi="Times New Roman" w:cs="Times New Roman"/>
          <w:color w:val="auto"/>
          <w:lang w:val="en-US" w:eastAsia="zh-CN"/>
        </w:rPr>
        <w:t>问题，</w:t>
      </w:r>
      <w:r>
        <w:rPr>
          <w:rFonts w:hint="default" w:ascii="Times New Roman" w:hAnsi="Times New Roman" w:cs="Times New Roman"/>
          <w:color w:val="auto"/>
        </w:rPr>
        <w:t>持续</w:t>
      </w:r>
      <w:r>
        <w:rPr>
          <w:rFonts w:hint="eastAsia" w:ascii="Times New Roman" w:hAnsi="Times New Roman" w:cs="Times New Roman"/>
          <w:color w:val="auto"/>
          <w:lang w:val="en-US" w:eastAsia="zh-CN"/>
        </w:rPr>
        <w:t>跟进</w:t>
      </w:r>
      <w:r>
        <w:rPr>
          <w:rFonts w:hint="default" w:ascii="Times New Roman" w:hAnsi="Times New Roman" w:cs="Times New Roman"/>
          <w:color w:val="auto"/>
        </w:rPr>
        <w:t>监督</w:t>
      </w:r>
      <w:r>
        <w:rPr>
          <w:rFonts w:hint="eastAsia" w:ascii="Times New Roman" w:hAnsi="Times New Roman" w:cs="Times New Roman"/>
          <w:color w:val="auto"/>
          <w:lang w:eastAsia="zh-CN"/>
        </w:rPr>
        <w:t>，打通贯彻执行中的堵点难点。</w:t>
      </w:r>
      <w:r>
        <w:rPr>
          <w:rFonts w:hint="default" w:ascii="楷体_GB2312" w:hAnsi="楷体_GB2312" w:eastAsia="楷体_GB2312" w:cs="楷体_GB2312"/>
          <w:color w:val="auto"/>
        </w:rPr>
        <w:t>(牵头单位：</w:t>
      </w:r>
      <w:r>
        <w:rPr>
          <w:rFonts w:hint="eastAsia" w:ascii="楷体_GB2312" w:hAnsi="楷体_GB2312" w:eastAsia="楷体_GB2312" w:cs="楷体_GB2312"/>
          <w:color w:val="auto"/>
          <w:lang w:val="en-US" w:eastAsia="zh-CN"/>
        </w:rPr>
        <w:t>区</w:t>
      </w:r>
      <w:r>
        <w:rPr>
          <w:rFonts w:hint="default" w:ascii="楷体_GB2312" w:hAnsi="楷体_GB2312" w:eastAsia="楷体_GB2312" w:cs="楷体_GB2312"/>
          <w:color w:val="auto"/>
        </w:rPr>
        <w:t>纪委监委机关、</w:t>
      </w:r>
      <w:r>
        <w:rPr>
          <w:rFonts w:hint="eastAsia" w:ascii="楷体_GB2312" w:hAnsi="楷体_GB2312" w:eastAsia="楷体_GB2312" w:cs="楷体_GB2312"/>
          <w:color w:val="auto"/>
          <w:lang w:val="en-US" w:eastAsia="zh-CN"/>
        </w:rPr>
        <w:t>区</w:t>
      </w:r>
      <w:r>
        <w:rPr>
          <w:rFonts w:hint="default" w:ascii="楷体_GB2312" w:hAnsi="楷体_GB2312" w:eastAsia="楷体_GB2312" w:cs="楷体_GB2312"/>
          <w:color w:val="auto"/>
        </w:rPr>
        <w:t>政府办、</w:t>
      </w:r>
      <w:r>
        <w:rPr>
          <w:rFonts w:hint="eastAsia" w:ascii="楷体_GB2312" w:hAnsi="楷体_GB2312" w:eastAsia="楷体_GB2312" w:cs="楷体_GB2312"/>
          <w:color w:val="auto"/>
          <w:lang w:eastAsia="zh-CN"/>
        </w:rPr>
        <w:t>区</w:t>
      </w:r>
      <w:r>
        <w:rPr>
          <w:rFonts w:hint="eastAsia" w:ascii="楷体_GB2312" w:hAnsi="楷体_GB2312" w:eastAsia="楷体_GB2312" w:cs="楷体_GB2312"/>
          <w:color w:val="auto"/>
          <w:lang w:val="en-US" w:eastAsia="zh-CN"/>
        </w:rPr>
        <w:t>营商办</w:t>
      </w:r>
      <w:r>
        <w:rPr>
          <w:rFonts w:hint="default" w:ascii="楷体_GB2312" w:hAnsi="楷体_GB2312" w:eastAsia="楷体_GB2312" w:cs="楷体_GB2312"/>
          <w:color w:val="auto"/>
        </w:rPr>
        <w:t>；责任单位：</w:t>
      </w:r>
      <w:r>
        <w:rPr>
          <w:rFonts w:hint="eastAsia" w:ascii="楷体_GB2312" w:hAnsi="楷体_GB2312" w:eastAsia="楷体_GB2312" w:cs="楷体_GB2312"/>
          <w:color w:val="auto"/>
          <w:lang w:eastAsia="zh-CN"/>
        </w:rPr>
        <w:t>区直有关</w:t>
      </w:r>
      <w:r>
        <w:rPr>
          <w:rFonts w:hint="eastAsia" w:ascii="楷体_GB2312" w:hAnsi="楷体_GB2312" w:eastAsia="楷体_GB2312" w:cs="楷体_GB2312"/>
          <w:color w:val="auto"/>
          <w:lang w:val="en-US" w:eastAsia="zh-CN"/>
        </w:rPr>
        <w:t>部门</w:t>
      </w:r>
      <w:r>
        <w:rPr>
          <w:rFonts w:hint="eastAsia" w:ascii="楷体_GB2312" w:hAnsi="楷体_GB2312" w:eastAsia="楷体_GB2312" w:cs="楷体_GB2312"/>
          <w:color w:val="auto"/>
          <w:lang w:eastAsia="zh-CN"/>
        </w:rPr>
        <w:t>，各镇人民政府、街道办事处、管委会</w:t>
      </w:r>
      <w:r>
        <w:rPr>
          <w:rFonts w:hint="default" w:ascii="楷体_GB2312" w:hAnsi="楷体_GB2312" w:eastAsia="楷体_GB2312" w:cs="楷体_GB2312"/>
          <w:color w:val="auto"/>
        </w:rPr>
        <w:t>)</w:t>
      </w:r>
    </w:p>
    <w:p w14:paraId="3296D24F">
      <w:pPr>
        <w:keepNext w:val="0"/>
        <w:keepLines w:val="0"/>
        <w:pageBreakBefore w:val="0"/>
        <w:widowControl w:val="0"/>
        <w:wordWrap/>
        <w:overflowPunct/>
        <w:topLinePunct w:val="0"/>
        <w:autoSpaceDE w:val="0"/>
        <w:autoSpaceDN w:val="0"/>
        <w:bidi w:val="0"/>
        <w:spacing w:line="580" w:lineRule="exact"/>
        <w:textAlignment w:val="baseline"/>
        <w:rPr>
          <w:rFonts w:hint="eastAsia"/>
          <w:lang w:eastAsia="zh-CN"/>
        </w:rPr>
      </w:pPr>
    </w:p>
    <w:p w14:paraId="06755DBD">
      <w:pPr>
        <w:rPr>
          <w:rFonts w:hint="default" w:ascii="Times New Roman" w:hAnsi="Times New Roman" w:cs="Times New Roman"/>
          <w:color w:val="auto"/>
        </w:rPr>
      </w:pPr>
    </w:p>
    <w:p w14:paraId="00536C5E">
      <w:pPr>
        <w:rPr>
          <w:rFonts w:hint="default"/>
        </w:rPr>
      </w:pPr>
      <w:r>
        <w:rPr>
          <w:rFonts w:hint="default"/>
        </w:rPr>
        <w:br w:type="page"/>
      </w:r>
    </w:p>
    <w:p w14:paraId="75F4C0CD">
      <w:pPr>
        <w:rPr>
          <w:rFonts w:hint="default"/>
        </w:rPr>
      </w:pPr>
      <w:r>
        <w:rPr>
          <w:rFonts w:hint="eastAsia" w:eastAsia="宋体"/>
          <w:lang w:eastAsia="zh-CN"/>
        </w:rPr>
        <w:drawing>
          <wp:anchor distT="0" distB="0" distL="114935" distR="114935" simplePos="0" relativeHeight="251659264" behindDoc="0" locked="0" layoutInCell="1" allowOverlap="1">
            <wp:simplePos x="0" y="0"/>
            <wp:positionH relativeFrom="column">
              <wp:posOffset>-514985</wp:posOffset>
            </wp:positionH>
            <wp:positionV relativeFrom="paragraph">
              <wp:posOffset>-596900</wp:posOffset>
            </wp:positionV>
            <wp:extent cx="6651625" cy="9878695"/>
            <wp:effectExtent l="0" t="0" r="15875" b="8255"/>
            <wp:wrapNone/>
            <wp:docPr id="1" name="图片 1" descr="以控制成本为核心优化营商环境操作流程图（2023年版）(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以控制成本为核心优化营商环境操作流程图（2023年版）(2)"/>
                    <pic:cNvPicPr>
                      <a:picLocks noChangeAspect="1"/>
                    </pic:cNvPicPr>
                  </pic:nvPicPr>
                  <pic:blipFill>
                    <a:blip r:embed="rId7"/>
                    <a:stretch>
                      <a:fillRect/>
                    </a:stretch>
                  </pic:blipFill>
                  <pic:spPr>
                    <a:xfrm>
                      <a:off x="0" y="0"/>
                      <a:ext cx="6651625" cy="9878695"/>
                    </a:xfrm>
                    <a:prstGeom prst="rect">
                      <a:avLst/>
                    </a:prstGeom>
                  </pic:spPr>
                </pic:pic>
              </a:graphicData>
            </a:graphic>
          </wp:anchor>
        </w:drawing>
      </w:r>
    </w:p>
    <w:p w14:paraId="08A04B37">
      <w:pPr>
        <w:pStyle w:val="2"/>
        <w:rPr>
          <w:rFonts w:hint="default"/>
        </w:rPr>
      </w:pPr>
    </w:p>
    <w:p w14:paraId="0C82A38E">
      <w:pPr>
        <w:rPr>
          <w:rFonts w:hint="default"/>
        </w:rPr>
      </w:pPr>
    </w:p>
    <w:p w14:paraId="29725ABE">
      <w:pPr>
        <w:pStyle w:val="2"/>
        <w:rPr>
          <w:rFonts w:hint="default"/>
        </w:rPr>
      </w:pPr>
    </w:p>
    <w:p w14:paraId="36361B44">
      <w:pPr>
        <w:rPr>
          <w:rFonts w:hint="default"/>
        </w:rPr>
      </w:pPr>
    </w:p>
    <w:p w14:paraId="15D0C615">
      <w:pPr>
        <w:pStyle w:val="2"/>
        <w:rPr>
          <w:rFonts w:hint="eastAsia" w:eastAsia="宋体"/>
          <w:lang w:eastAsia="zh-CN"/>
        </w:rPr>
      </w:pPr>
    </w:p>
    <w:sectPr>
      <w:footerReference r:id="rId5" w:type="default"/>
      <w:pgSz w:w="11900" w:h="16820"/>
      <w:pgMar w:top="1701" w:right="1587" w:bottom="1587" w:left="1587" w:header="0" w:footer="1117" w:gutter="0"/>
      <w:pgNumType w:fmt="decimal"/>
      <w:cols w:space="0" w:num="1"/>
      <w:rtlGutter w:val="0"/>
      <w:docGrid w:type="linesAndChars" w:linePitch="591" w:charSpace="-17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8C042">
    <w:pPr>
      <w:spacing w:line="183" w:lineRule="auto"/>
      <w:ind w:right="47"/>
      <w:jc w:val="right"/>
      <w:rPr>
        <w:rFonts w:ascii="宋体" w:hAnsi="宋体" w:eastAsia="宋体" w:cs="宋体"/>
        <w:sz w:val="31"/>
        <w:szCs w:val="31"/>
      </w:rPr>
    </w:pPr>
    <w:r>
      <w:rPr>
        <w:sz w:val="3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67F4A7">
                          <w:pPr>
                            <w:pStyle w:val="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667F4A7">
                    <w:pPr>
                      <w:pStyle w:val="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bordersDoNotSurroundHeader w:val="0"/>
  <w:bordersDoNotSurroundFooter w:val="0"/>
  <w:documentProtection w:enforcement="0"/>
  <w:drawingGridHorizontalSpacing w:val="156"/>
  <w:drawingGridVerticalSpacing w:val="295"/>
  <w:displayHorizontalDrawingGridEvery w:val="1"/>
  <w:displayVerticalDrawingGridEvery w:val="1"/>
  <w:noPunctuationKerning w:val="1"/>
  <w:characterSpacingControl w:val="doNotCompres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YzIzOGM3Mjk5MzFkMGNlZGUwOWZhZDUxNWM4ZmY4ZjYifQ=="/>
  </w:docVars>
  <w:rsids>
    <w:rsidRoot w:val="00000000"/>
    <w:rsid w:val="004F681C"/>
    <w:rsid w:val="00977B14"/>
    <w:rsid w:val="02901F77"/>
    <w:rsid w:val="032064E7"/>
    <w:rsid w:val="032633D2"/>
    <w:rsid w:val="03463E12"/>
    <w:rsid w:val="043438CC"/>
    <w:rsid w:val="04C220A3"/>
    <w:rsid w:val="0507122B"/>
    <w:rsid w:val="0524048F"/>
    <w:rsid w:val="05467D5B"/>
    <w:rsid w:val="05CF608E"/>
    <w:rsid w:val="07DD2500"/>
    <w:rsid w:val="07FB6BDB"/>
    <w:rsid w:val="084D35EB"/>
    <w:rsid w:val="08975D8F"/>
    <w:rsid w:val="089B0950"/>
    <w:rsid w:val="08AD6980"/>
    <w:rsid w:val="093B6A85"/>
    <w:rsid w:val="094344D5"/>
    <w:rsid w:val="097A7FD3"/>
    <w:rsid w:val="09C1299A"/>
    <w:rsid w:val="09E576CD"/>
    <w:rsid w:val="0A3C00C4"/>
    <w:rsid w:val="0B6416BB"/>
    <w:rsid w:val="0C131DE7"/>
    <w:rsid w:val="0C647761"/>
    <w:rsid w:val="0CE15D14"/>
    <w:rsid w:val="0D2210AE"/>
    <w:rsid w:val="0D7754AA"/>
    <w:rsid w:val="0E460DCC"/>
    <w:rsid w:val="0E484B44"/>
    <w:rsid w:val="0EBA27BE"/>
    <w:rsid w:val="0F046FDD"/>
    <w:rsid w:val="0F197D97"/>
    <w:rsid w:val="100D1BA1"/>
    <w:rsid w:val="10321608"/>
    <w:rsid w:val="10596B94"/>
    <w:rsid w:val="10CD2283"/>
    <w:rsid w:val="11570DEA"/>
    <w:rsid w:val="11841370"/>
    <w:rsid w:val="12BA7692"/>
    <w:rsid w:val="12C85424"/>
    <w:rsid w:val="12CF6B79"/>
    <w:rsid w:val="12D61973"/>
    <w:rsid w:val="136E0BA9"/>
    <w:rsid w:val="13840B48"/>
    <w:rsid w:val="13C221AE"/>
    <w:rsid w:val="13D827F3"/>
    <w:rsid w:val="1406493D"/>
    <w:rsid w:val="14621231"/>
    <w:rsid w:val="14661E34"/>
    <w:rsid w:val="165A4329"/>
    <w:rsid w:val="16743D06"/>
    <w:rsid w:val="19632982"/>
    <w:rsid w:val="199B1FCC"/>
    <w:rsid w:val="1A02029D"/>
    <w:rsid w:val="1AF916A0"/>
    <w:rsid w:val="1BCD6FDB"/>
    <w:rsid w:val="1BE61436"/>
    <w:rsid w:val="1BFF2AD6"/>
    <w:rsid w:val="1C617331"/>
    <w:rsid w:val="1CB810E7"/>
    <w:rsid w:val="1D4B7A15"/>
    <w:rsid w:val="1D9C27B6"/>
    <w:rsid w:val="1DAC581B"/>
    <w:rsid w:val="1DCF66E8"/>
    <w:rsid w:val="1DE32193"/>
    <w:rsid w:val="1E707900"/>
    <w:rsid w:val="1E90774E"/>
    <w:rsid w:val="1E9D67E6"/>
    <w:rsid w:val="1ECF12C5"/>
    <w:rsid w:val="1F2760B0"/>
    <w:rsid w:val="1F370D5E"/>
    <w:rsid w:val="1F8B4890"/>
    <w:rsid w:val="20C91B14"/>
    <w:rsid w:val="21542B46"/>
    <w:rsid w:val="218E68BA"/>
    <w:rsid w:val="219709C9"/>
    <w:rsid w:val="22265B0E"/>
    <w:rsid w:val="22B3526E"/>
    <w:rsid w:val="239F4407"/>
    <w:rsid w:val="23B25C07"/>
    <w:rsid w:val="23E80866"/>
    <w:rsid w:val="24343749"/>
    <w:rsid w:val="24D67406"/>
    <w:rsid w:val="252B4B4C"/>
    <w:rsid w:val="255D22B8"/>
    <w:rsid w:val="25FC3DF2"/>
    <w:rsid w:val="26450A10"/>
    <w:rsid w:val="26961CF3"/>
    <w:rsid w:val="27814EF7"/>
    <w:rsid w:val="279462AC"/>
    <w:rsid w:val="28C62208"/>
    <w:rsid w:val="290621BF"/>
    <w:rsid w:val="29F64FFC"/>
    <w:rsid w:val="2A257690"/>
    <w:rsid w:val="2A4D7312"/>
    <w:rsid w:val="2A5B749F"/>
    <w:rsid w:val="2AC700AE"/>
    <w:rsid w:val="2B230073"/>
    <w:rsid w:val="2B296164"/>
    <w:rsid w:val="2BBB2623"/>
    <w:rsid w:val="2BCA4992"/>
    <w:rsid w:val="2C0C2828"/>
    <w:rsid w:val="2C2C601B"/>
    <w:rsid w:val="2C7F577D"/>
    <w:rsid w:val="2C862667"/>
    <w:rsid w:val="2D6B0AEA"/>
    <w:rsid w:val="2D8F4899"/>
    <w:rsid w:val="2E9D759D"/>
    <w:rsid w:val="2EA72D69"/>
    <w:rsid w:val="2F16066A"/>
    <w:rsid w:val="2F4A7B78"/>
    <w:rsid w:val="2F560A17"/>
    <w:rsid w:val="2F6D7B0F"/>
    <w:rsid w:val="2F93475F"/>
    <w:rsid w:val="30550CCF"/>
    <w:rsid w:val="30B359F5"/>
    <w:rsid w:val="30EE1A83"/>
    <w:rsid w:val="31723B02"/>
    <w:rsid w:val="32912673"/>
    <w:rsid w:val="337835BD"/>
    <w:rsid w:val="33C56012"/>
    <w:rsid w:val="33C90654"/>
    <w:rsid w:val="33DC370F"/>
    <w:rsid w:val="33E57375"/>
    <w:rsid w:val="347F27BE"/>
    <w:rsid w:val="348600D6"/>
    <w:rsid w:val="358C5B3F"/>
    <w:rsid w:val="359F123D"/>
    <w:rsid w:val="360C0AD8"/>
    <w:rsid w:val="367925D6"/>
    <w:rsid w:val="36946210"/>
    <w:rsid w:val="371934B9"/>
    <w:rsid w:val="37877AB6"/>
    <w:rsid w:val="37ED3EE3"/>
    <w:rsid w:val="38063A0C"/>
    <w:rsid w:val="382C1407"/>
    <w:rsid w:val="385E6B8E"/>
    <w:rsid w:val="3AB33903"/>
    <w:rsid w:val="3ADF64F0"/>
    <w:rsid w:val="3AE25855"/>
    <w:rsid w:val="3BDC22A4"/>
    <w:rsid w:val="3C047A4D"/>
    <w:rsid w:val="3C0A010F"/>
    <w:rsid w:val="3C0B7330"/>
    <w:rsid w:val="3C426346"/>
    <w:rsid w:val="3C481E9A"/>
    <w:rsid w:val="3C7F0E81"/>
    <w:rsid w:val="3E18158D"/>
    <w:rsid w:val="3EA009F2"/>
    <w:rsid w:val="3F422D66"/>
    <w:rsid w:val="3FC10E0A"/>
    <w:rsid w:val="405C39B3"/>
    <w:rsid w:val="406219CE"/>
    <w:rsid w:val="40836B4B"/>
    <w:rsid w:val="40934C22"/>
    <w:rsid w:val="411C61E6"/>
    <w:rsid w:val="41DE664A"/>
    <w:rsid w:val="42D615C2"/>
    <w:rsid w:val="43122D87"/>
    <w:rsid w:val="434444D3"/>
    <w:rsid w:val="446403A9"/>
    <w:rsid w:val="4521341D"/>
    <w:rsid w:val="45D91330"/>
    <w:rsid w:val="469B2D5C"/>
    <w:rsid w:val="471825FE"/>
    <w:rsid w:val="477A12B1"/>
    <w:rsid w:val="4794472F"/>
    <w:rsid w:val="47987B56"/>
    <w:rsid w:val="48276F9D"/>
    <w:rsid w:val="483D45DA"/>
    <w:rsid w:val="48557C54"/>
    <w:rsid w:val="493C1B97"/>
    <w:rsid w:val="49681C10"/>
    <w:rsid w:val="49CD5922"/>
    <w:rsid w:val="4A1D7044"/>
    <w:rsid w:val="4A364B6B"/>
    <w:rsid w:val="4AB634BC"/>
    <w:rsid w:val="4B00283D"/>
    <w:rsid w:val="4B332F45"/>
    <w:rsid w:val="4D21045F"/>
    <w:rsid w:val="4DD311EA"/>
    <w:rsid w:val="4E10402F"/>
    <w:rsid w:val="4E8D61CF"/>
    <w:rsid w:val="4EBB21ED"/>
    <w:rsid w:val="4EC45545"/>
    <w:rsid w:val="4F74239C"/>
    <w:rsid w:val="507B1A9A"/>
    <w:rsid w:val="508C575D"/>
    <w:rsid w:val="520420A2"/>
    <w:rsid w:val="52D03D8D"/>
    <w:rsid w:val="558F2721"/>
    <w:rsid w:val="56656025"/>
    <w:rsid w:val="567E247E"/>
    <w:rsid w:val="569237DF"/>
    <w:rsid w:val="56BB6869"/>
    <w:rsid w:val="57844FB3"/>
    <w:rsid w:val="57C52BDD"/>
    <w:rsid w:val="57DE47F9"/>
    <w:rsid w:val="58CB0ECD"/>
    <w:rsid w:val="58EB7B73"/>
    <w:rsid w:val="58F93734"/>
    <w:rsid w:val="5A006761"/>
    <w:rsid w:val="5B8C73EB"/>
    <w:rsid w:val="5C835514"/>
    <w:rsid w:val="5CC826A5"/>
    <w:rsid w:val="5CDB424F"/>
    <w:rsid w:val="5DAF5613"/>
    <w:rsid w:val="5F225246"/>
    <w:rsid w:val="5F225970"/>
    <w:rsid w:val="5FB40CBE"/>
    <w:rsid w:val="5FE64BF0"/>
    <w:rsid w:val="60826937"/>
    <w:rsid w:val="617D30E9"/>
    <w:rsid w:val="61B21C93"/>
    <w:rsid w:val="6353259C"/>
    <w:rsid w:val="642D083A"/>
    <w:rsid w:val="64674FBC"/>
    <w:rsid w:val="64942E6C"/>
    <w:rsid w:val="64AA4843"/>
    <w:rsid w:val="64CD45D0"/>
    <w:rsid w:val="65A567B4"/>
    <w:rsid w:val="660118BB"/>
    <w:rsid w:val="66126CEB"/>
    <w:rsid w:val="66635557"/>
    <w:rsid w:val="66EC6F90"/>
    <w:rsid w:val="67C1548F"/>
    <w:rsid w:val="67C92A9B"/>
    <w:rsid w:val="67E97973"/>
    <w:rsid w:val="683E7CBF"/>
    <w:rsid w:val="688E0930"/>
    <w:rsid w:val="691E189E"/>
    <w:rsid w:val="69392234"/>
    <w:rsid w:val="695B21AB"/>
    <w:rsid w:val="69672477"/>
    <w:rsid w:val="6A530054"/>
    <w:rsid w:val="6A6B1BEE"/>
    <w:rsid w:val="6A982DF6"/>
    <w:rsid w:val="6B62095B"/>
    <w:rsid w:val="6B6E744D"/>
    <w:rsid w:val="6B7043C1"/>
    <w:rsid w:val="6B9D4CFC"/>
    <w:rsid w:val="6BED709B"/>
    <w:rsid w:val="6CC81EA4"/>
    <w:rsid w:val="6DD8026E"/>
    <w:rsid w:val="6E2E05F8"/>
    <w:rsid w:val="6E697118"/>
    <w:rsid w:val="6E8D3A17"/>
    <w:rsid w:val="6F7543C4"/>
    <w:rsid w:val="6FE07FF9"/>
    <w:rsid w:val="70DE203F"/>
    <w:rsid w:val="714F37A4"/>
    <w:rsid w:val="715A71EC"/>
    <w:rsid w:val="718751FC"/>
    <w:rsid w:val="71F13D46"/>
    <w:rsid w:val="731C0BFD"/>
    <w:rsid w:val="740F3B71"/>
    <w:rsid w:val="745B25CA"/>
    <w:rsid w:val="74994E4D"/>
    <w:rsid w:val="755E3853"/>
    <w:rsid w:val="75CD7842"/>
    <w:rsid w:val="76236746"/>
    <w:rsid w:val="76654669"/>
    <w:rsid w:val="77530965"/>
    <w:rsid w:val="77A613DD"/>
    <w:rsid w:val="787915C9"/>
    <w:rsid w:val="7B641393"/>
    <w:rsid w:val="7B9003DA"/>
    <w:rsid w:val="7BBC487D"/>
    <w:rsid w:val="7BDA54DC"/>
    <w:rsid w:val="7C6201F2"/>
    <w:rsid w:val="7D731D61"/>
    <w:rsid w:val="7D9A5540"/>
    <w:rsid w:val="7DD520D4"/>
    <w:rsid w:val="7F6C2F0C"/>
    <w:rsid w:val="7F7B5C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仿宋_GB2312" w:cs="Arial"/>
      <w:snapToGrid w:val="0"/>
      <w:color w:val="000000"/>
      <w:kern w:val="0"/>
      <w:sz w:val="32"/>
      <w:szCs w:val="21"/>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after="120"/>
      <w:ind w:left="420" w:leftChars="200" w:firstLine="420" w:firstLineChars="200"/>
    </w:pPr>
    <w:rPr>
      <w:rFonts w:ascii="Times New Roman" w:hAnsi="Times New Roman" w:eastAsia="宋体" w:cs="Times New Roman"/>
      <w:szCs w:val="20"/>
    </w:rPr>
  </w:style>
  <w:style w:type="paragraph" w:styleId="3">
    <w:name w:val="Body Text Indent"/>
    <w:basedOn w:val="1"/>
    <w:next w:val="1"/>
    <w:qFormat/>
    <w:uiPriority w:val="0"/>
    <w:pPr>
      <w:ind w:firstLine="660"/>
    </w:pPr>
    <w:rPr>
      <w:rFonts w:ascii="楷体_GB2312" w:hAnsi="宋体" w:eastAsia="宋体" w:cs="Times New Roman"/>
      <w:szCs w:val="24"/>
    </w:rPr>
  </w:style>
  <w:style w:type="paragraph" w:styleId="4">
    <w:name w:val="Normal Indent"/>
    <w:basedOn w:val="1"/>
    <w:next w:val="1"/>
    <w:qFormat/>
    <w:uiPriority w:val="0"/>
    <w:pPr>
      <w:ind w:firstLine="630"/>
    </w:pPr>
    <w:rPr>
      <w:kern w:val="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5358</Words>
  <Characters>5501</Characters>
  <Lines>1</Lines>
  <Paragraphs>1</Paragraphs>
  <TotalTime>489</TotalTime>
  <ScaleCrop>false</ScaleCrop>
  <LinksUpToDate>false</LinksUpToDate>
  <CharactersWithSpaces>5527</CharactersWithSpaces>
  <Application>WPS Office_12.1.0.21171_F1E327BC-269C-435d-A152-05C5408002CA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2023-06-07T15:26:00Z</dcterms:created>
  <dc:creator>Kingsoft-PDF</dc:creator>
  <cp:lastModifiedBy>wwww</cp:lastModifiedBy>
  <cp:lastPrinted>2023-07-26T00:54:00Z</cp:lastPrinted>
  <dcterms:modified xsi:type="dcterms:W3CDTF">2025-05-23T07:08:37Z</dcterms:modified>
  <dc:subject>pdfbuilder</dc:subject>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2023-06-07T15:26:17Z</vt:filetime>
  </property>
  <property fmtid="{D5CDD505-2E9C-101B-9397-08002B2CF9AE}" pid="4" name="UsrData">
    <vt:lpwstr>648031112d7008001fe0e7b1wl</vt:lpwstr>
  </property>
  <property fmtid="{D5CDD505-2E9C-101B-9397-08002B2CF9AE}" pid="5" name="KSOProductBuildVer">
    <vt:lpwstr>2052-12.1.0.21171</vt:lpwstr>
  </property>
  <property fmtid="{D5CDD505-2E9C-101B-9397-08002B2CF9AE}" pid="6" name="ICV">
    <vt:lpwstr>EF688B207FD64B98939F7E3D3C656551_13</vt:lpwstr>
  </property>
</Properties>
</file>