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邓家老塆村关于建设公益性公墓决议的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</w:t>
      </w: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为了深化殡葬改革，树立文明殡葬新风，节约土地，解决乱埋乱葬的问题，邓家老塆村通过两委会商议，党员和村民代表大会决议，计划建设公益性公墓一处，位于七组黄山冲，面积约4亩。</w:t>
      </w: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特此公示</w:t>
      </w: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邓家老塆村委会</w:t>
      </w:r>
    </w:p>
    <w:p>
      <w:pPr>
        <w:ind w:firstLine="5320" w:firstLineChars="19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2023年4月10日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jUxOTI4NWYwYWQ4NTM0NmE5YWJkNTU3ZmQwYzEifQ=="/>
  </w:docVars>
  <w:rsids>
    <w:rsidRoot w:val="734A03D4"/>
    <w:rsid w:val="734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2023-08-28T02:37:00Z</dcterms:created>
  <dc:creator>唐凤琼</dc:creator>
  <cp:lastModifiedBy>唐凤琼</cp:lastModifiedBy>
  <cp:lastPrinted>2023-08-28T02:44:01Z</cp:lastPrinted>
  <dcterms:modified xsi:type="dcterms:W3CDTF">2023-08-28T02:57:33Z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AE180D509BA64A20B9412DD95461746F_11</vt:lpwstr>
  </property>
</Properties>
</file>