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君子山村惠民惠农政策</w:t>
      </w: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2022年，贯彻落实党的十九届六中全会、中央经济工作会议、中央农村工作会议、中央1号文件精神，围绕巩固拓展脱贫攻坚成果、全面推进乡村振兴、加快农业农村现代化，按照“保供固安全、振兴畅循环”的工作定位，国家继续加大支农投入，强化项目统筹整合，推进重大政策、重大工程、重大项目顺利实施。为便于广大农民和社会各界了解国家强农惠农政策，发挥政策引导作用，现将2022年重点强农惠农政策发布如下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实际种粮农民一次性补贴。为适当弥补农资价格上涨增加的种粮成本支出，保障种粮农民合理收益，2022年中央财政继续对实际种粮农民发放一次性农资补贴，释放支持粮食生产积极信号，稳定农民收入，调动农民种粮积极性。补贴对象为实际承担农资价格上涨成本的实际种粮者，包括利用自有承包地种粮的农民，流转土地种粮的大户、家庭农场、农民合作社、农业企业等新型农业经营主体，以及开展粮食耕种收全程社会化服务的个人和组织，确保补贴资金落实到实际种粮的生产者手中，提升补贴政策的精准性。补贴标准由各地区结合有关情况综合确定，原则上县域内补贴标准应统一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农机购置与应用补贴。开展农机购置与应用补贴试点，开展常态化作业信息化监测，优化补贴兑付方式，把作业量作为农机购置与应用补贴分步兑付的前置条件，为全面实施农机购置与应用补贴政策夯实基础。推进补贴机具有进有出、优机优补，推进北斗智能终端在农业生产领域应用。支持开展农机研发制造推广应用一体化试点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重点作物绿色高质高效行动。聚焦围绕粮食和大豆油料作物，集成推广新技术、新品种、新机具，打造一批优质强筋弱筋专用小麦、优质食味稻和专用加工早稻、高产优质玉米的粮食示范基地，同时集成示范推广高油高蛋白大豆、“双低”油菜等优质品种和区域化、标准化高产栽培技术模式，打造一批大豆油料高产攻关田，示范带动大范围均衡增产。适当兼顾蔬菜等经济作物，建设绿色高质高效示范田和品质提升基地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农业生产社会化服务。聚焦粮食和大豆油料生产，支持符合条件的农民合作社、农村集体经济组织、专业服务公司和供销合作社等主体开展社会化服务，推动服务带动型规模经营发展。支持各类服务主体集中连片开展单环节、多环节、全程托管等服务，提高技术到位率、服务覆盖面和补贴精准性，推动节本增效和农民增收。</w:t>
      </w:r>
    </w:p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zY0NTQ5YTEyNzliZmQ2NGYwM2M0Zjg1ZDFkMGMifQ=="/>
  </w:docVars>
  <w:rsids>
    <w:rsidRoot w:val="00000000"/>
    <w:rsid w:val="01D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2022-06-29T11:32:24Z</dcterms:created>
  <dc:creator>Administrator</dc:creator>
  <cp:lastModifiedBy>蔡侨:19871827785</cp:lastModifiedBy>
  <dcterms:modified xsi:type="dcterms:W3CDTF">2022-06-29T11:34:06Z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4954735672004B178575C4CE504188AB</vt:lpwstr>
  </property>
</Properties>
</file>