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lang w:eastAsia="zh-CN"/>
        </w:rPr>
      </w:pPr>
      <w:bookmarkStart w:id="1" w:name="_GoBack"/>
      <w:bookmarkStart w:id="0" w:name="2随州市城市地下综合管廊管理办法（送审稿）修改2021-7-8(1)"/>
      <w:bookmarkEnd w:id="0"/>
      <w:r>
        <w:rPr>
          <w:rFonts w:hint="eastAsia"/>
          <w:lang w:eastAsia="zh-CN"/>
        </w:rPr>
        <w:t>曾都区</w:t>
      </w:r>
      <w:r>
        <w:rPr>
          <w:lang w:eastAsia="zh-CN"/>
        </w:rPr>
        <w:t>城市地下综合管廊管理办法</w:t>
      </w:r>
      <w:r>
        <w:rPr>
          <w:rFonts w:hint="eastAsia"/>
          <w:lang w:eastAsia="zh-CN"/>
        </w:rPr>
        <w:t>（试行）</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240" w:lineRule="auto"/>
        <w:ind w:left="0" w:right="0" w:firstLine="640" w:firstLineChars="200"/>
        <w:jc w:val="center"/>
        <w:textAlignment w:val="auto"/>
        <w:rPr>
          <w:rFonts w:ascii="黑体" w:eastAsia="黑体"/>
          <w:spacing w:val="0"/>
          <w:w w:val="100"/>
          <w:lang w:eastAsia="zh-CN"/>
        </w:rPr>
      </w:pPr>
      <w:r>
        <w:rPr>
          <w:rFonts w:hint="eastAsia" w:ascii="黑体" w:eastAsia="黑体"/>
          <w:spacing w:val="0"/>
          <w:w w:val="100"/>
          <w:lang w:eastAsia="zh-CN"/>
        </w:rPr>
        <w:t>第一章</w:t>
      </w:r>
      <w:r>
        <w:rPr>
          <w:rFonts w:hint="eastAsia" w:ascii="黑体" w:eastAsia="黑体"/>
          <w:spacing w:val="0"/>
          <w:w w:val="100"/>
          <w:lang w:eastAsia="zh-CN"/>
        </w:rPr>
        <w:tab/>
      </w:r>
      <w:r>
        <w:rPr>
          <w:rFonts w:hint="eastAsia" w:ascii="黑体" w:eastAsia="黑体"/>
          <w:spacing w:val="0"/>
          <w:w w:val="100"/>
          <w:lang w:eastAsia="zh-CN"/>
        </w:rPr>
        <w:t>总则</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第一条 </w:t>
      </w:r>
      <w:r>
        <w:rPr>
          <w:spacing w:val="0"/>
          <w:w w:val="100"/>
          <w:lang w:eastAsia="zh-CN"/>
        </w:rPr>
        <w:t>为规范</w:t>
      </w:r>
      <w:r>
        <w:rPr>
          <w:rFonts w:hint="eastAsia"/>
          <w:spacing w:val="0"/>
          <w:w w:val="100"/>
          <w:lang w:eastAsia="zh-CN"/>
        </w:rPr>
        <w:t>曾都区</w:t>
      </w:r>
      <w:r>
        <w:rPr>
          <w:spacing w:val="0"/>
          <w:w w:val="100"/>
          <w:lang w:eastAsia="zh-CN"/>
        </w:rPr>
        <w:t>城市地下综合管廊建设管理工作，合理利用城市地下空间，保障城市地下管线安全运行，提高城市综合承载能力，依据《城乡规划法》《建筑法》《城市地下空间开发利用管理规定》《国务院办公厅关于推进城市地下综合管廊建设的指导意见》</w:t>
      </w:r>
      <w:r>
        <w:rPr>
          <w:rFonts w:hint="eastAsia"/>
          <w:spacing w:val="0"/>
          <w:w w:val="100"/>
          <w:lang w:eastAsia="zh-CN"/>
        </w:rPr>
        <w:t>和随州市</w:t>
      </w:r>
      <w:r>
        <w:rPr>
          <w:spacing w:val="0"/>
          <w:w w:val="100"/>
          <w:lang w:eastAsia="zh-CN"/>
        </w:rPr>
        <w:t>城市地下综合管廊建设管理</w:t>
      </w:r>
      <w:r>
        <w:rPr>
          <w:rFonts w:hint="eastAsia"/>
          <w:spacing w:val="0"/>
          <w:w w:val="100"/>
          <w:lang w:eastAsia="zh-CN"/>
        </w:rPr>
        <w:t>办法</w:t>
      </w:r>
      <w:r>
        <w:rPr>
          <w:spacing w:val="0"/>
          <w:w w:val="100"/>
          <w:lang w:eastAsia="zh-CN"/>
        </w:rPr>
        <w:t>等法律法规规章规定,结合</w:t>
      </w:r>
      <w:r>
        <w:rPr>
          <w:rFonts w:hint="eastAsia"/>
          <w:spacing w:val="0"/>
          <w:w w:val="100"/>
          <w:lang w:eastAsia="zh-CN"/>
        </w:rPr>
        <w:t>曾都区</w:t>
      </w:r>
      <w:r>
        <w:rPr>
          <w:spacing w:val="0"/>
          <w:w w:val="100"/>
          <w:lang w:eastAsia="zh-CN"/>
        </w:rPr>
        <w:t>实际, 制定本办法。</w:t>
      </w:r>
    </w:p>
    <w:p>
      <w:pPr>
        <w:pStyle w:val="2"/>
        <w:keepNext w:val="0"/>
        <w:keepLines w:val="0"/>
        <w:pageBreakBefore w:val="0"/>
        <w:widowControl w:val="0"/>
        <w:tabs>
          <w:tab w:val="left" w:pos="2062"/>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hAnsi="黑体" w:eastAsia="黑体"/>
          <w:spacing w:val="0"/>
          <w:w w:val="100"/>
          <w:lang w:eastAsia="zh-CN"/>
        </w:rPr>
        <w:t>第二条</w:t>
      </w:r>
      <w:r>
        <w:rPr>
          <w:rFonts w:hint="eastAsia" w:ascii="黑体" w:hAnsi="黑体" w:eastAsia="黑体"/>
          <w:spacing w:val="0"/>
          <w:w w:val="100"/>
          <w:lang w:eastAsia="zh-CN"/>
        </w:rPr>
        <w:tab/>
      </w:r>
      <w:r>
        <w:rPr>
          <w:rFonts w:hint="eastAsia"/>
          <w:spacing w:val="0"/>
          <w:w w:val="100"/>
          <w:lang w:eastAsia="zh-CN"/>
        </w:rPr>
        <w:t>曾都</w:t>
      </w:r>
      <w:r>
        <w:rPr>
          <w:spacing w:val="0"/>
          <w:w w:val="100"/>
          <w:lang w:eastAsia="zh-CN"/>
        </w:rPr>
        <w:t>行政区域内城市地下综合管廊（以下简称“综合管廊”）的规划、建设、运营、维护，遵守本规定执行。</w:t>
      </w:r>
    </w:p>
    <w:p>
      <w:pPr>
        <w:pStyle w:val="2"/>
        <w:keepNext w:val="0"/>
        <w:keepLines w:val="0"/>
        <w:pageBreakBefore w:val="0"/>
        <w:widowControl w:val="0"/>
        <w:tabs>
          <w:tab w:val="left" w:pos="202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第三条</w:t>
      </w:r>
      <w:r>
        <w:rPr>
          <w:rFonts w:hint="eastAsia" w:ascii="黑体" w:eastAsia="黑体"/>
          <w:spacing w:val="0"/>
          <w:w w:val="100"/>
          <w:lang w:eastAsia="zh-CN"/>
        </w:rPr>
        <w:tab/>
      </w:r>
      <w:r>
        <w:rPr>
          <w:spacing w:val="0"/>
          <w:w w:val="100"/>
          <w:lang w:eastAsia="zh-CN"/>
        </w:rPr>
        <w:t>本办法所称的综合管廊（包括干线、支线、缆线） 是指城市集中建设区范围内建于地下用于容纳两种及以上工程管线的构筑物及其附属设施。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本办法所称的城市工程管线（以下简称“管线”）是指城市范围内为满足生活、生产需要而敷设的市政公用管线，如给水、雨水、污水、再生水、天然气、电力、通信、热力等，不包含工业管线。</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本办法所称的附属设施，是指为保障综合管廊本体、内部环境、入廊管线稳定运行和人员安全，配套建设的消防、通风、供电、照明、监控与报警、给水排水和标识等设施。</w:t>
      </w:r>
    </w:p>
    <w:p>
      <w:pPr>
        <w:pStyle w:val="2"/>
        <w:keepNext w:val="0"/>
        <w:keepLines w:val="0"/>
        <w:pageBreakBefore w:val="0"/>
        <w:widowControl w:val="0"/>
        <w:tabs>
          <w:tab w:val="left" w:pos="202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第四条</w:t>
      </w:r>
      <w:r>
        <w:rPr>
          <w:rFonts w:hint="eastAsia" w:ascii="黑体" w:eastAsia="黑体"/>
          <w:spacing w:val="0"/>
          <w:w w:val="100"/>
          <w:lang w:eastAsia="zh-CN"/>
        </w:rPr>
        <w:tab/>
      </w:r>
      <w:r>
        <w:rPr>
          <w:spacing w:val="0"/>
          <w:w w:val="100"/>
          <w:lang w:eastAsia="zh-CN"/>
        </w:rPr>
        <w:t>综合管廊规划、建设和管理，应当遵循政府主导、规划先行、适度超前、因地制宜、统筹兼顾、市场运作、免费使用的原则。</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第五条 </w:t>
      </w:r>
      <w:r>
        <w:rPr>
          <w:spacing w:val="0"/>
          <w:w w:val="100"/>
          <w:lang w:eastAsia="zh-CN"/>
        </w:rPr>
        <w:t>发展改革</w:t>
      </w:r>
      <w:r>
        <w:rPr>
          <w:rFonts w:hint="eastAsia"/>
          <w:spacing w:val="0"/>
          <w:w w:val="100"/>
          <w:lang w:eastAsia="zh-CN"/>
        </w:rPr>
        <w:t>、财政等部门要</w:t>
      </w:r>
      <w:r>
        <w:rPr>
          <w:spacing w:val="0"/>
          <w:w w:val="100"/>
          <w:lang w:eastAsia="zh-CN"/>
        </w:rPr>
        <w:t>加强对综合管廊建设资金的统筹，在年度预算和建设计划中优先安排综合管廊项目，并将其纳入地方政府采购范围。鼓励社会资本投资建设和运营维护综合管廊。通过特许经营、投资补贴、贷款贴息等形式，推进政府和社会资本合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spacing w:val="0"/>
          <w:w w:val="100"/>
          <w:lang w:eastAsia="zh-CN"/>
        </w:rPr>
        <w:t>区</w:t>
      </w:r>
      <w:r>
        <w:rPr>
          <w:spacing w:val="0"/>
          <w:w w:val="100"/>
          <w:lang w:eastAsia="zh-CN"/>
        </w:rPr>
        <w:t>政府建立综合管廊工作领导协调机制，统筹协调城市地下综合管廊管理工作，解决规划、建设、运营中的重大问题。</w:t>
      </w:r>
    </w:p>
    <w:p>
      <w:pPr>
        <w:pStyle w:val="2"/>
        <w:keepNext w:val="0"/>
        <w:keepLines w:val="0"/>
        <w:pageBreakBefore w:val="0"/>
        <w:widowControl w:val="0"/>
        <w:tabs>
          <w:tab w:val="left" w:pos="2062"/>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第六条</w:t>
      </w:r>
      <w:r>
        <w:rPr>
          <w:rFonts w:hint="eastAsia" w:ascii="黑体" w:eastAsia="黑体"/>
          <w:spacing w:val="0"/>
          <w:w w:val="100"/>
          <w:lang w:eastAsia="zh-CN"/>
        </w:rPr>
        <w:tab/>
      </w:r>
      <w:r>
        <w:rPr>
          <w:spacing w:val="0"/>
          <w:w w:val="100"/>
          <w:lang w:eastAsia="zh-CN"/>
        </w:rPr>
        <w:t>相关部门按照以下各自职责共同做好综合管廊规划、建设、运营维护管理工作：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住建部门是综合管廊建设、运营管理的行政主管部门，负责综合管廊建设及运营维护管理的监督协调工作。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自然资源和规划部门会同住房和城乡建设部门组织编制 综合管廊专项规划，报同级人民政府批准后实施，并在项目规划编制、审批中落实规划条件要求。</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color w:val="auto"/>
          <w:spacing w:val="0"/>
          <w:w w:val="100"/>
          <w:highlight w:val="none"/>
          <w:lang w:eastAsia="zh-CN"/>
        </w:rPr>
      </w:pPr>
      <w:r>
        <w:rPr>
          <w:spacing w:val="0"/>
          <w:w w:val="100"/>
          <w:lang w:eastAsia="zh-CN"/>
        </w:rPr>
        <w:t>发展改革部门负责综合管廊工程项目立项，投资计划管理和建立健全管廊</w:t>
      </w:r>
      <w:r>
        <w:rPr>
          <w:rFonts w:hint="eastAsia"/>
          <w:color w:val="auto"/>
          <w:spacing w:val="0"/>
          <w:w w:val="100"/>
          <w:highlight w:val="none"/>
          <w:lang w:eastAsia="zh-CN"/>
        </w:rPr>
        <w:t>免费</w:t>
      </w:r>
      <w:r>
        <w:rPr>
          <w:color w:val="auto"/>
          <w:spacing w:val="0"/>
          <w:w w:val="100"/>
          <w:highlight w:val="none"/>
          <w:lang w:eastAsia="zh-CN"/>
        </w:rPr>
        <w:t>使用</w:t>
      </w:r>
      <w:r>
        <w:rPr>
          <w:rFonts w:hint="eastAsia"/>
          <w:color w:val="auto"/>
          <w:spacing w:val="0"/>
          <w:w w:val="100"/>
          <w:highlight w:val="none"/>
          <w:lang w:eastAsia="zh-CN"/>
        </w:rPr>
        <w:t>制度，制定综合管廊免费使用标准</w:t>
      </w:r>
      <w:r>
        <w:rPr>
          <w:color w:val="auto"/>
          <w:spacing w:val="0"/>
          <w:w w:val="100"/>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财政部门负责按照政府支出责任安排财政预算,组织做好政府和社会资本合作(PPP)项目识别阶段的物有所值评价和财政承受能力论证工作。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公安、经济和信息化、城市管理、生态环境、交通运输、应急管理、审计等部门按照各自职责做好综合管廊的相关管理工作。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第七条 </w:t>
      </w:r>
      <w:r>
        <w:rPr>
          <w:spacing w:val="0"/>
          <w:w w:val="100"/>
          <w:lang w:eastAsia="zh-CN"/>
        </w:rPr>
        <w:t>综合管廊运营维护单位或项目公司是综合管廊运营维护的责任主体，按照《城市地下综合管廊运行维护及安全技术标准（GB51354-2019）》的要求，负责管廊及其附属设施的运营维护，并按照约定向管线产权单位提供综合管廊使用及运营维护服务。</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各管线产权单位负责本行业入廊管线建设运行维护工作。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center"/>
        <w:textAlignment w:val="auto"/>
        <w:rPr>
          <w:rFonts w:ascii="黑体" w:eastAsia="黑体"/>
          <w:spacing w:val="0"/>
          <w:w w:val="100"/>
          <w:lang w:eastAsia="zh-CN"/>
        </w:rPr>
      </w:pPr>
      <w:r>
        <w:rPr>
          <w:rFonts w:hint="eastAsia" w:ascii="黑体" w:eastAsia="黑体"/>
          <w:spacing w:val="0"/>
          <w:w w:val="100"/>
          <w:lang w:eastAsia="zh-CN"/>
        </w:rPr>
        <w:t>第二章 规划建设</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第八条 </w:t>
      </w:r>
      <w:r>
        <w:rPr>
          <w:spacing w:val="0"/>
          <w:w w:val="100"/>
          <w:lang w:eastAsia="zh-CN"/>
        </w:rPr>
        <w:t>综合管廊专项规划应当符合城市总体规划，与地下空间开发利用、管线综合规划、各类地下管线、道路交通等专项规划相衔接，并纳入控制性规划。</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综合管廊专项规划应合理确定综合管廊的建设布局、管线种类、断面形式、平面位置、竖向控制等，并明确建设规模和时序，综合考虑城市发展远景，预留和控制有关地下空间。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第九条 </w:t>
      </w:r>
      <w:r>
        <w:rPr>
          <w:spacing w:val="0"/>
          <w:w w:val="100"/>
          <w:lang w:eastAsia="zh-CN"/>
        </w:rPr>
        <w:t>综合管廊的建设，应严格按照《综合管廊专项规划》，在实施城市新区建设、道路新（扩、改）建、旧城更新、河道治理和地下空间开发建设等项目时，与主体同步规划、同步建设、同步验收、同步交付。</w:t>
      </w:r>
    </w:p>
    <w:p>
      <w:pPr>
        <w:pStyle w:val="2"/>
        <w:keepNext w:val="0"/>
        <w:keepLines w:val="0"/>
        <w:pageBreakBefore w:val="0"/>
        <w:widowControl w:val="0"/>
        <w:tabs>
          <w:tab w:val="left" w:pos="2024"/>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第十条</w:t>
      </w:r>
      <w:r>
        <w:rPr>
          <w:rFonts w:hint="eastAsia" w:ascii="黑体" w:eastAsia="黑体"/>
          <w:spacing w:val="0"/>
          <w:w w:val="100"/>
          <w:lang w:eastAsia="zh-CN"/>
        </w:rPr>
        <w:tab/>
      </w:r>
      <w:r>
        <w:rPr>
          <w:spacing w:val="0"/>
          <w:w w:val="100"/>
          <w:lang w:eastAsia="zh-CN"/>
        </w:rPr>
        <w:t>城市集中建设区范围内的各类管线，原则上应全部敷设于地下空间。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对已在综合管廊建设区域预留位置的管线，在综合管廊达到满载前，除因技术要求无法纳入综合管廊的（如雨污水管网） 或者与外部用户连接的管线外，应当全部纳入综合管廊。不得在管廊以外建设管线。</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对于应当纳入综合管廊的管线在管廊外进行建设施工的， 自然资源和规划部门不予审批，住房和城乡建设部门不予施工许可审批，城市管理部门不予掘路许可审批。</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既有管线应根据实际需要，结合管线改造，逐步迁移至综合管廊内。</w:t>
      </w:r>
    </w:p>
    <w:p>
      <w:pPr>
        <w:pStyle w:val="2"/>
        <w:keepNext w:val="0"/>
        <w:keepLines w:val="0"/>
        <w:pageBreakBefore w:val="0"/>
        <w:widowControl w:val="0"/>
        <w:tabs>
          <w:tab w:val="left" w:pos="234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第十一条</w:t>
      </w:r>
      <w:r>
        <w:rPr>
          <w:rFonts w:hint="eastAsia" w:ascii="黑体" w:eastAsia="黑体"/>
          <w:spacing w:val="0"/>
          <w:w w:val="100"/>
          <w:lang w:eastAsia="zh-CN"/>
        </w:rPr>
        <w:tab/>
      </w:r>
      <w:r>
        <w:rPr>
          <w:spacing w:val="0"/>
          <w:w w:val="100"/>
          <w:lang w:eastAsia="zh-CN"/>
        </w:rPr>
        <w:t>综合管廊建设前，涉及穿越城市道路、公路、铁路、河道、绿（林）地，农用地或者涉及消防安全、文物保护、树木保护的，建设单位应当按照相关法律法规规定办理相关审批手续，城市管理部门在审批市政工程时应充分考虑管廊安全距离。</w:t>
      </w:r>
    </w:p>
    <w:p>
      <w:pPr>
        <w:pStyle w:val="2"/>
        <w:keepNext w:val="0"/>
        <w:keepLines w:val="0"/>
        <w:pageBreakBefore w:val="0"/>
        <w:widowControl w:val="0"/>
        <w:tabs>
          <w:tab w:val="left" w:pos="234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第十二条</w:t>
      </w:r>
      <w:r>
        <w:rPr>
          <w:rFonts w:hint="eastAsia" w:ascii="黑体" w:eastAsia="黑体"/>
          <w:spacing w:val="0"/>
          <w:w w:val="100"/>
          <w:lang w:eastAsia="zh-CN"/>
        </w:rPr>
        <w:tab/>
      </w:r>
      <w:r>
        <w:rPr>
          <w:spacing w:val="0"/>
          <w:w w:val="100"/>
          <w:lang w:eastAsia="zh-CN"/>
        </w:rPr>
        <w:t>综合管廊建设工程的设计除应当符合国家和管线行业标准外，还应当征求综合管廊运营维护单位和入廊管线单位的意见，满足所在区域应当入廊管线的需要，确保管廊安全运行。</w:t>
      </w:r>
    </w:p>
    <w:p>
      <w:pPr>
        <w:pStyle w:val="2"/>
        <w:keepNext w:val="0"/>
        <w:keepLines w:val="0"/>
        <w:pageBreakBefore w:val="0"/>
        <w:widowControl w:val="0"/>
        <w:tabs>
          <w:tab w:val="left" w:pos="234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第十三条</w:t>
      </w:r>
      <w:r>
        <w:rPr>
          <w:rFonts w:hint="eastAsia" w:ascii="黑体" w:eastAsia="黑体"/>
          <w:spacing w:val="0"/>
          <w:w w:val="100"/>
          <w:lang w:eastAsia="zh-CN"/>
        </w:rPr>
        <w:tab/>
      </w:r>
      <w:r>
        <w:rPr>
          <w:spacing w:val="0"/>
          <w:w w:val="100"/>
          <w:lang w:eastAsia="zh-CN"/>
        </w:rPr>
        <w:t>综合管廊的建设应当严格履行法定的项目建设程序，规范招投标行为，落实工程建设各方质量安全主体责任。建立综合管廊工程质量终身责任永久性标牌制度，接受社会监督。</w:t>
      </w:r>
    </w:p>
    <w:p>
      <w:pPr>
        <w:pStyle w:val="2"/>
        <w:keepNext w:val="0"/>
        <w:keepLines w:val="0"/>
        <w:pageBreakBefore w:val="0"/>
        <w:widowControl w:val="0"/>
        <w:tabs>
          <w:tab w:val="left" w:pos="2343"/>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第十四条</w:t>
      </w:r>
      <w:r>
        <w:rPr>
          <w:rFonts w:hint="eastAsia" w:ascii="黑体" w:eastAsia="黑体"/>
          <w:spacing w:val="0"/>
          <w:w w:val="100"/>
          <w:lang w:eastAsia="zh-CN"/>
        </w:rPr>
        <w:tab/>
      </w:r>
      <w:r>
        <w:rPr>
          <w:spacing w:val="0"/>
          <w:w w:val="100"/>
          <w:lang w:eastAsia="zh-CN"/>
        </w:rPr>
        <w:t>综合管廊建设工程竣工后，管廊建设单位应当按照规定组织竣工验收，验收合格后方可交付使用。</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竣工验收合格后，管廊建设单位要及时按照相关规定向城建档案管理部门移交工程竣工档案。</w:t>
      </w:r>
    </w:p>
    <w:p>
      <w:pPr>
        <w:pStyle w:val="2"/>
        <w:keepNext w:val="0"/>
        <w:keepLines w:val="0"/>
        <w:pageBreakBefore w:val="0"/>
        <w:widowControl w:val="0"/>
        <w:tabs>
          <w:tab w:val="left" w:pos="1281"/>
        </w:tabs>
        <w:kinsoku/>
        <w:wordWrap/>
        <w:overflowPunct/>
        <w:topLinePunct w:val="0"/>
        <w:autoSpaceDE w:val="0"/>
        <w:autoSpaceDN w:val="0"/>
        <w:bidi w:val="0"/>
        <w:adjustRightInd/>
        <w:snapToGrid/>
        <w:spacing w:line="240" w:lineRule="auto"/>
        <w:ind w:left="0" w:right="0" w:firstLine="640" w:firstLineChars="200"/>
        <w:jc w:val="center"/>
        <w:textAlignment w:val="auto"/>
        <w:rPr>
          <w:rFonts w:ascii="黑体" w:eastAsia="黑体"/>
          <w:spacing w:val="0"/>
          <w:w w:val="100"/>
          <w:lang w:eastAsia="zh-CN"/>
        </w:rPr>
      </w:pPr>
      <w:r>
        <w:rPr>
          <w:rFonts w:hint="eastAsia" w:ascii="黑体" w:eastAsia="黑体"/>
          <w:spacing w:val="0"/>
          <w:w w:val="100"/>
          <w:lang w:eastAsia="zh-CN"/>
        </w:rPr>
        <w:t>第三章</w:t>
      </w:r>
      <w:r>
        <w:rPr>
          <w:rFonts w:hint="eastAsia" w:ascii="黑体" w:eastAsia="黑体"/>
          <w:spacing w:val="0"/>
          <w:w w:val="100"/>
          <w:lang w:eastAsia="zh-CN"/>
        </w:rPr>
        <w:tab/>
      </w:r>
      <w:r>
        <w:rPr>
          <w:rFonts w:hint="eastAsia" w:ascii="黑体" w:eastAsia="黑体"/>
          <w:spacing w:val="0"/>
          <w:w w:val="100"/>
          <w:lang w:eastAsia="zh-CN"/>
        </w:rPr>
        <w:t>运营维护</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第十五条 </w:t>
      </w:r>
      <w:r>
        <w:rPr>
          <w:spacing w:val="0"/>
          <w:w w:val="100"/>
          <w:lang w:eastAsia="zh-CN"/>
        </w:rPr>
        <w:t>综合管廊运营维护单位必须依法依规选定。</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第十六条 </w:t>
      </w:r>
      <w:r>
        <w:rPr>
          <w:spacing w:val="0"/>
          <w:w w:val="100"/>
          <w:lang w:eastAsia="zh-CN"/>
        </w:rPr>
        <w:t>综合管廊运营维护单位或项目公司应当与管线产权单位签订书面协议，约定入廊管线种类、时限、费用以及各方的责任和义务。</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第十七条 </w:t>
      </w:r>
      <w:r>
        <w:rPr>
          <w:spacing w:val="0"/>
          <w:w w:val="100"/>
          <w:lang w:eastAsia="zh-CN"/>
        </w:rPr>
        <w:t>综合管廊实行免费使用制度，免费使用费标准，原则上由管线产权单位和综合管廊运营维护单位协商确定。</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协商不能取得一致意见时，由</w:t>
      </w:r>
      <w:r>
        <w:rPr>
          <w:rFonts w:hint="eastAsia"/>
          <w:spacing w:val="0"/>
          <w:w w:val="100"/>
          <w:lang w:eastAsia="zh-CN"/>
        </w:rPr>
        <w:t>区政府办牵头组织</w:t>
      </w:r>
      <w:r>
        <w:rPr>
          <w:spacing w:val="0"/>
          <w:w w:val="100"/>
          <w:lang w:eastAsia="zh-CN"/>
        </w:rPr>
        <w:t>发展改革、住房和城乡建设等部门进行协调，通过开展成本调查、专家论证、委托第三方机构评估等形式，为供需双方协商确定免费使用费标准提供参考依据。</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rFonts w:hint="eastAsia"/>
          <w:spacing w:val="0"/>
          <w:w w:val="100"/>
          <w:lang w:eastAsia="zh-CN"/>
        </w:rPr>
      </w:pPr>
      <w:r>
        <w:rPr>
          <w:rFonts w:hint="eastAsia" w:ascii="黑体" w:eastAsia="黑体"/>
          <w:spacing w:val="0"/>
          <w:w w:val="100"/>
          <w:sz w:val="32"/>
          <w:lang w:eastAsia="zh-CN"/>
        </w:rPr>
        <w:t>第十八条</w:t>
      </w:r>
    </w:p>
    <w:p>
      <w:pPr>
        <w:pStyle w:val="2"/>
        <w:keepNext w:val="0"/>
        <w:keepLines w:val="0"/>
        <w:pageBreakBefore w:val="0"/>
        <w:widowControl w:val="0"/>
        <w:tabs>
          <w:tab w:val="left" w:pos="2388"/>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综合管廊运营维护单位负责综合管廊本体及附属设施的运营维护，履行以下义务：</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(一)遵守综合管廊安全保护相关的法律、法规、规章和技术标准，并接受住房和城乡建设、城市管理等部门的监督管理;</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(二)养护和维修综合管廊共用设施设备，保障设施设备正常运转;</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(三)配备相应的建筑、机电、给排水等专业技术人员，建立值班、检查、档案资料等维护管理制度，落实安全监控和巡查、检测等安全保障措施;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(四)统筹安排管线单位日常维护管理，配合和协助管线单位进行巡查、养护和维修;</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(五)保持综合管廊整洁、照明和通风良好;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(六)制订应急预案，发生险情时采取紧急措施，并及时通知管线单位进行抢修;</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spacing w:val="0"/>
          <w:w w:val="100"/>
          <w:lang w:eastAsia="zh-CN"/>
        </w:rPr>
        <w:t>(七)发现并制止在管廊安全范围内从事开挖、爆破、深基坑开发等影响综合管廊安全的相关行为，并及时向有关行政管理部门报告；</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(八)保障综合管廊安全运行应当履行的其他义务。</w:t>
      </w:r>
    </w:p>
    <w:p>
      <w:pPr>
        <w:pStyle w:val="2"/>
        <w:keepNext w:val="0"/>
        <w:keepLines w:val="0"/>
        <w:pageBreakBefore w:val="0"/>
        <w:widowControl w:val="0"/>
        <w:tabs>
          <w:tab w:val="left" w:pos="2390"/>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第十九条</w:t>
      </w:r>
      <w:r>
        <w:rPr>
          <w:rFonts w:hint="eastAsia" w:ascii="黑体" w:eastAsia="黑体"/>
          <w:spacing w:val="0"/>
          <w:w w:val="100"/>
          <w:lang w:eastAsia="zh-CN"/>
        </w:rPr>
        <w:tab/>
      </w:r>
      <w:r>
        <w:rPr>
          <w:spacing w:val="0"/>
          <w:w w:val="100"/>
          <w:lang w:eastAsia="zh-CN"/>
        </w:rPr>
        <w:t>管线产权单位负责所属入廊管线的设施维护和日常管理工作，履行以下义务：</w:t>
      </w:r>
    </w:p>
    <w:p>
      <w:pPr>
        <w:pStyle w:val="2"/>
        <w:keepNext w:val="0"/>
        <w:keepLines w:val="0"/>
        <w:pageBreakBefore w:val="0"/>
        <w:widowControl w:val="0"/>
        <w:tabs>
          <w:tab w:val="left" w:pos="2390"/>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(一)建立安全责任制，编制实施综合管廊内管线维护、巡查和检测计划，并接受综合管廊运营维护单位的监督检查;</w:t>
      </w:r>
    </w:p>
    <w:p>
      <w:pPr>
        <w:pStyle w:val="2"/>
        <w:keepNext w:val="0"/>
        <w:keepLines w:val="0"/>
        <w:pageBreakBefore w:val="0"/>
        <w:widowControl w:val="0"/>
        <w:tabs>
          <w:tab w:val="left" w:pos="2390"/>
        </w:tabs>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(二)使用和维护管线应当执行相关安全技术规程;</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(三)施工时对综合管廊及管廊内已有管线采取有效的保 护措施;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(四)在综合管廊内实施明火作业时，应当取得综合管廊运营维护单位的同意，施工方案应当符合消防要求;</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(五)制订管线应急预案，并报综合管廊运营维护单位备</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案;</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spacing w:val="0"/>
          <w:w w:val="100"/>
          <w:lang w:eastAsia="zh-CN"/>
        </w:rPr>
        <w:t>(六)保障入廊管线安全运行应当履行的其他义务。</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lang w:eastAsia="zh-CN"/>
        </w:rPr>
      </w:pPr>
      <w:r>
        <w:rPr>
          <w:rFonts w:hint="eastAsia" w:ascii="黑体" w:eastAsia="黑体"/>
          <w:spacing w:val="0"/>
          <w:w w:val="100"/>
          <w:lang w:eastAsia="zh-CN"/>
        </w:rPr>
        <w:t>第二十条</w:t>
      </w:r>
      <w:r>
        <w:rPr>
          <w:rFonts w:hint="eastAsia" w:ascii="黑体" w:eastAsia="黑体"/>
          <w:spacing w:val="0"/>
          <w:w w:val="100"/>
          <w:lang w:eastAsia="zh-CN"/>
        </w:rPr>
        <w:tab/>
      </w:r>
      <w:r>
        <w:rPr>
          <w:spacing w:val="0"/>
          <w:w w:val="100"/>
          <w:lang w:eastAsia="zh-CN"/>
        </w:rPr>
        <w:t>管线产权单位废弃管线的，应及时向综合管廊运营维护单位报告，采取有效措施防范安全隐患，并自行清理废弃管线。</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center"/>
        <w:textAlignment w:val="auto"/>
        <w:rPr>
          <w:rFonts w:ascii="黑体" w:eastAsia="黑体"/>
          <w:spacing w:val="0"/>
          <w:w w:val="100"/>
          <w:lang w:eastAsia="zh-CN"/>
        </w:rPr>
      </w:pPr>
      <w:r>
        <w:rPr>
          <w:rFonts w:hint="eastAsia" w:ascii="黑体" w:eastAsia="黑体"/>
          <w:spacing w:val="0"/>
          <w:w w:val="100"/>
          <w:lang w:eastAsia="zh-CN"/>
        </w:rPr>
        <w:t>第四章 法律责任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第二十一条 </w:t>
      </w:r>
      <w:r>
        <w:rPr>
          <w:spacing w:val="0"/>
          <w:w w:val="100"/>
          <w:lang w:eastAsia="zh-CN"/>
        </w:rPr>
        <w:t>行政管理部门及其工作人员玩忽职守、滥用职权、徇私舞弊的，由所在单位或上级主管部门依法对有关责任者给予行政处分；构成犯罪的，依法追究刑事责任。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第二十二条 </w:t>
      </w:r>
      <w:r>
        <w:rPr>
          <w:spacing w:val="0"/>
          <w:w w:val="100"/>
          <w:lang w:eastAsia="zh-CN"/>
        </w:rPr>
        <w:t>管廊运营过程中，因管廊运营维护单位责任造成人身及财产损失的，运营维护单位应依法承担相关责任。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第二十三条 </w:t>
      </w:r>
      <w:r>
        <w:rPr>
          <w:spacing w:val="0"/>
          <w:w w:val="100"/>
          <w:lang w:eastAsia="zh-CN"/>
        </w:rPr>
        <w:t>因管线产权单位违反管廊使用管理制度、操作规程和管线管理维护相关规定等原因，造成人身及财产损失的，管线产权单位应依法承担相关责任。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第二十四条 </w:t>
      </w:r>
      <w:r>
        <w:rPr>
          <w:spacing w:val="0"/>
          <w:w w:val="100"/>
          <w:lang w:eastAsia="zh-CN"/>
        </w:rPr>
        <w:t>违反本规定从事建设、施工活动，影响管廊安全运行时，由城市管理部门依法追究相关责任。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第二十五条 </w:t>
      </w:r>
      <w:r>
        <w:rPr>
          <w:spacing w:val="0"/>
          <w:w w:val="100"/>
          <w:lang w:eastAsia="zh-CN"/>
        </w:rPr>
        <w:t>产权单位未按相关规定入廊、管线应当入廊而未按要求入廊的，由各行业主管部门责令限期改正，并依法追究相应责任。</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lang w:eastAsia="zh-CN"/>
        </w:rPr>
      </w:pPr>
      <w:r>
        <w:rPr>
          <w:rFonts w:hint="eastAsia" w:ascii="黑体" w:eastAsia="黑体"/>
          <w:spacing w:val="0"/>
          <w:w w:val="100"/>
          <w:lang w:eastAsia="zh-CN"/>
        </w:rPr>
        <w:t xml:space="preserve">第二十六条 </w:t>
      </w:r>
      <w:r>
        <w:rPr>
          <w:spacing w:val="0"/>
          <w:w w:val="100"/>
          <w:lang w:eastAsia="zh-CN"/>
        </w:rPr>
        <w:t>未按已批准的《综合管廊专项规划》配建综合管廊的，由自然资源和规划部门依法追究相应责任。</w:t>
      </w:r>
    </w:p>
    <w:p>
      <w:pPr>
        <w:pStyle w:val="2"/>
        <w:keepNext w:val="0"/>
        <w:keepLines w:val="0"/>
        <w:pageBreakBefore w:val="0"/>
        <w:widowControl w:val="0"/>
        <w:tabs>
          <w:tab w:val="left" w:pos="1761"/>
        </w:tabs>
        <w:kinsoku/>
        <w:wordWrap/>
        <w:overflowPunct/>
        <w:topLinePunct w:val="0"/>
        <w:autoSpaceDE w:val="0"/>
        <w:autoSpaceDN w:val="0"/>
        <w:bidi w:val="0"/>
        <w:adjustRightInd/>
        <w:snapToGrid/>
        <w:spacing w:line="240" w:lineRule="auto"/>
        <w:ind w:left="0" w:right="0" w:firstLine="640" w:firstLineChars="200"/>
        <w:jc w:val="center"/>
        <w:textAlignment w:val="auto"/>
        <w:rPr>
          <w:rFonts w:ascii="黑体" w:eastAsia="黑体"/>
          <w:spacing w:val="0"/>
          <w:w w:val="100"/>
          <w:lang w:eastAsia="zh-CN"/>
        </w:rPr>
      </w:pPr>
      <w:r>
        <w:rPr>
          <w:rFonts w:hint="eastAsia" w:ascii="黑体" w:eastAsia="黑体"/>
          <w:spacing w:val="0"/>
          <w:w w:val="100"/>
          <w:lang w:eastAsia="zh-CN"/>
        </w:rPr>
        <w:t>第五章 附</w:t>
      </w:r>
      <w:r>
        <w:rPr>
          <w:rFonts w:hint="eastAsia" w:ascii="黑体" w:eastAsia="黑体"/>
          <w:spacing w:val="0"/>
          <w:w w:val="100"/>
          <w:lang w:eastAsia="zh-CN"/>
        </w:rPr>
        <w:tab/>
      </w:r>
      <w:r>
        <w:rPr>
          <w:rFonts w:hint="eastAsia" w:ascii="黑体" w:eastAsia="黑体"/>
          <w:spacing w:val="0"/>
          <w:w w:val="100"/>
          <w:lang w:eastAsia="zh-CN"/>
        </w:rPr>
        <w:t>则</w:t>
      </w:r>
    </w:p>
    <w:p>
      <w:pPr>
        <w:pStyle w:val="2"/>
        <w:keepNext w:val="0"/>
        <w:keepLines w:val="0"/>
        <w:pageBreakBefore w:val="0"/>
        <w:widowControl w:val="0"/>
        <w:tabs>
          <w:tab w:val="left" w:pos="2660"/>
        </w:tabs>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sz w:val="32"/>
          <w:lang w:eastAsia="zh-CN"/>
        </w:rPr>
      </w:pPr>
      <w:r>
        <w:rPr>
          <w:rFonts w:hint="eastAsia" w:ascii="黑体" w:eastAsia="黑体"/>
          <w:spacing w:val="0"/>
          <w:w w:val="100"/>
          <w:sz w:val="32"/>
          <w:lang w:eastAsia="zh-CN"/>
        </w:rPr>
        <w:t>第二十七条</w:t>
      </w:r>
      <w:r>
        <w:rPr>
          <w:rFonts w:hint="eastAsia" w:ascii="黑体" w:eastAsia="黑体"/>
          <w:spacing w:val="0"/>
          <w:w w:val="100"/>
          <w:sz w:val="32"/>
          <w:lang w:eastAsia="zh-CN"/>
        </w:rPr>
        <w:tab/>
      </w:r>
      <w:r>
        <w:rPr>
          <w:spacing w:val="0"/>
          <w:w w:val="100"/>
          <w:sz w:val="32"/>
          <w:lang w:eastAsia="zh-CN"/>
        </w:rPr>
        <w:t>本办法由</w:t>
      </w:r>
      <w:r>
        <w:rPr>
          <w:rFonts w:hint="eastAsia"/>
          <w:spacing w:val="0"/>
          <w:w w:val="100"/>
          <w:sz w:val="32"/>
          <w:lang w:eastAsia="zh-CN"/>
        </w:rPr>
        <w:t>区</w:t>
      </w:r>
      <w:r>
        <w:rPr>
          <w:spacing w:val="0"/>
          <w:w w:val="100"/>
          <w:sz w:val="32"/>
          <w:lang w:eastAsia="zh-CN"/>
        </w:rPr>
        <w:t>住房和城乡建设部门负责解释。</w:t>
      </w:r>
    </w:p>
    <w:p>
      <w:pPr>
        <w:pStyle w:val="2"/>
        <w:keepNext w:val="0"/>
        <w:keepLines w:val="0"/>
        <w:pageBreakBefore w:val="0"/>
        <w:widowControl w:val="0"/>
        <w:tabs>
          <w:tab w:val="left" w:pos="2669"/>
        </w:tabs>
        <w:kinsoku/>
        <w:wordWrap/>
        <w:overflowPunct/>
        <w:topLinePunct w:val="0"/>
        <w:autoSpaceDE w:val="0"/>
        <w:autoSpaceDN w:val="0"/>
        <w:bidi w:val="0"/>
        <w:adjustRightInd/>
        <w:snapToGrid/>
        <w:spacing w:line="240" w:lineRule="auto"/>
        <w:ind w:left="0" w:right="0" w:firstLine="640" w:firstLineChars="200"/>
        <w:jc w:val="both"/>
        <w:textAlignment w:val="auto"/>
        <w:rPr>
          <w:spacing w:val="0"/>
          <w:w w:val="100"/>
          <w:sz w:val="32"/>
        </w:rPr>
      </w:pPr>
      <w:r>
        <w:rPr>
          <w:rFonts w:hint="eastAsia" w:ascii="黑体" w:eastAsia="黑体"/>
          <w:spacing w:val="0"/>
          <w:w w:val="100"/>
          <w:sz w:val="32"/>
          <w:lang w:eastAsia="zh-CN"/>
        </w:rPr>
        <w:t>第二十八条</w:t>
      </w:r>
      <w:r>
        <w:rPr>
          <w:rFonts w:hint="eastAsia" w:ascii="黑体" w:eastAsia="黑体"/>
          <w:spacing w:val="0"/>
          <w:w w:val="100"/>
          <w:sz w:val="32"/>
          <w:lang w:eastAsia="zh-CN"/>
        </w:rPr>
        <w:tab/>
      </w:r>
      <w:r>
        <w:rPr>
          <w:spacing w:val="0"/>
          <w:w w:val="100"/>
          <w:sz w:val="32"/>
          <w:lang w:eastAsia="zh-CN"/>
        </w:rPr>
        <w:t>本办法自发布之日起施行，有效期自 202</w:t>
      </w:r>
      <w:r>
        <w:rPr>
          <w:rFonts w:hint="eastAsia"/>
          <w:spacing w:val="0"/>
          <w:w w:val="100"/>
          <w:sz w:val="32"/>
          <w:lang w:val="en-US" w:eastAsia="zh-CN"/>
        </w:rPr>
        <w:t>2</w:t>
      </w:r>
      <w:r>
        <w:rPr>
          <w:spacing w:val="0"/>
          <w:w w:val="100"/>
          <w:sz w:val="32"/>
        </w:rPr>
        <w:t xml:space="preserve">年 </w:t>
      </w:r>
      <w:r>
        <w:rPr>
          <w:rFonts w:hint="eastAsia"/>
          <w:spacing w:val="0"/>
          <w:w w:val="100"/>
          <w:sz w:val="32"/>
          <w:lang w:val="en-US" w:eastAsia="zh-CN"/>
        </w:rPr>
        <w:t>9</w:t>
      </w:r>
      <w:r>
        <w:rPr>
          <w:spacing w:val="0"/>
          <w:w w:val="100"/>
          <w:sz w:val="32"/>
        </w:rPr>
        <w:t>月 1 日至 202</w:t>
      </w:r>
      <w:r>
        <w:rPr>
          <w:rFonts w:hint="eastAsia"/>
          <w:spacing w:val="0"/>
          <w:w w:val="100"/>
          <w:sz w:val="32"/>
          <w:lang w:val="en-US" w:eastAsia="zh-CN"/>
        </w:rPr>
        <w:t>4</w:t>
      </w:r>
      <w:r>
        <w:rPr>
          <w:spacing w:val="0"/>
          <w:w w:val="100"/>
          <w:sz w:val="32"/>
        </w:rPr>
        <w:t>年</w:t>
      </w:r>
      <w:r>
        <w:rPr>
          <w:rFonts w:hint="eastAsia"/>
          <w:spacing w:val="0"/>
          <w:w w:val="100"/>
          <w:sz w:val="32"/>
          <w:lang w:eastAsia="zh-CN"/>
        </w:rPr>
        <w:t xml:space="preserve"> </w:t>
      </w:r>
      <w:r>
        <w:rPr>
          <w:rFonts w:hint="eastAsia"/>
          <w:spacing w:val="0"/>
          <w:w w:val="100"/>
          <w:sz w:val="32"/>
          <w:lang w:val="en-US" w:eastAsia="zh-CN"/>
        </w:rPr>
        <w:t>8</w:t>
      </w:r>
      <w:r>
        <w:rPr>
          <w:spacing w:val="0"/>
          <w:w w:val="100"/>
          <w:sz w:val="32"/>
        </w:rPr>
        <w:t xml:space="preserve"> 月 30日。</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spacing w:val="0"/>
          <w:w w:val="100"/>
        </w:rPr>
      </w:pPr>
    </w:p>
    <w:p>
      <w:pPr>
        <w:pStyle w:val="2"/>
        <w:tabs>
          <w:tab w:val="left" w:pos="2669"/>
        </w:tabs>
        <w:spacing w:before="149"/>
        <w:rPr>
          <w:rFonts w:hint="eastAsia"/>
          <w:lang w:val="en-US" w:eastAsia="zh-CN"/>
        </w:rPr>
      </w:pPr>
      <w:r>
        <w:rPr>
          <w:rFonts w:hint="eastAsia"/>
          <w:lang w:val="en-US" w:eastAsia="zh-CN"/>
        </w:rPr>
        <w:t>附件1：曾都区城区地下综合管廊成本减免明细</w:t>
      </w:r>
    </w:p>
    <w:tbl>
      <w:tblPr>
        <w:tblStyle w:val="4"/>
        <w:tblW w:w="8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2"/>
        <w:gridCol w:w="2378"/>
        <w:gridCol w:w="4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trPr>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管线名称</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管线型号</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入廊费减免标准（元/米）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通信管</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Φ110mm</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电力电缆</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10KV</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110KV</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220KV</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给水管</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雨水管</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DN800~1500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污水管</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DN500~1200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燃气管</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345.65</w:t>
            </w:r>
          </w:p>
        </w:tc>
      </w:tr>
    </w:tbl>
    <w:p>
      <w:pPr>
        <w:pStyle w:val="2"/>
        <w:spacing w:before="152"/>
        <w:rPr>
          <w:spacing w:val="-28"/>
        </w:rPr>
      </w:pPr>
    </w:p>
    <w:bookmarkEnd w:id="1"/>
    <w:sectPr>
      <w:footerReference r:id="rId3" w:type="default"/>
      <w:footerReference r:id="rId4" w:type="even"/>
      <w:pgSz w:w="11910" w:h="16840"/>
      <w:pgMar w:top="1580" w:right="1420" w:bottom="1160" w:left="1600" w:header="0" w:footer="9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5839460</wp:posOffset>
              </wp:positionH>
              <wp:positionV relativeFrom="page">
                <wp:posOffset>9935210</wp:posOffset>
              </wp:positionV>
              <wp:extent cx="69024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0245" cy="203835"/>
                      </a:xfrm>
                      <a:prstGeom prst="rect">
                        <a:avLst/>
                      </a:prstGeom>
                      <a:noFill/>
                      <a:ln w="9525">
                        <a:noFill/>
                      </a:ln>
                    </wps:spPr>
                    <wps:txbx>
                      <w:txbxContent>
                        <w:p>
                          <w:pPr>
                            <w:spacing w:line="321" w:lineRule="exact"/>
                            <w:ind w:left="20"/>
                            <w:rPr>
                              <w:rFonts w:ascii="宋体" w:hAnsi="宋体"/>
                              <w:b/>
                              <w:sz w:val="28"/>
                            </w:rPr>
                          </w:pPr>
                          <w:r>
                            <w:rPr>
                              <w:rFonts w:ascii="宋体" w:hAnsi="宋体"/>
                              <w:b/>
                              <w:sz w:val="28"/>
                            </w:rPr>
                            <w:t xml:space="preserve">— </w:t>
                          </w:r>
                          <w:r>
                            <w:fldChar w:fldCharType="begin"/>
                          </w:r>
                          <w:r>
                            <w:rPr>
                              <w:rFonts w:ascii="宋体" w:hAnsi="宋体"/>
                              <w:b/>
                              <w:sz w:val="28"/>
                            </w:rPr>
                            <w:instrText xml:space="preserve"> PAGE </w:instrText>
                          </w:r>
                          <w:r>
                            <w:fldChar w:fldCharType="separate"/>
                          </w:r>
                          <w:r>
                            <w:rPr>
                              <w:rFonts w:ascii="宋体" w:hAnsi="宋体"/>
                              <w:b/>
                              <w:sz w:val="28"/>
                            </w:rPr>
                            <w:t>7</w:t>
                          </w:r>
                          <w:r>
                            <w:fldChar w:fldCharType="end"/>
                          </w:r>
                          <w:r>
                            <w:rPr>
                              <w:rFonts w:ascii="宋体" w:hAnsi="宋体"/>
                              <w:b/>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59.8pt;margin-top:782.3pt;height:16.05pt;width:54.35pt;mso-position-horizontal-relative:page;mso-position-vertical-relative:page;z-index:-251657216;mso-width-relative:page;mso-height-relative:page;" filled="f" stroked="f" coordsize="21600,21600" o:gfxdata="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16BTbAAAADgEAAA8AAAAAAAAAAQAgAAAAIgAAAGRycy9kb3du&#10;cmV2LnhtbFBLAQIUABQAAAAIAIdO4kAjnUptwwEAAHoDAAAOAAAAAAAAAAEAIAAAACoBAABkcnMv&#10;ZTJvRG9jLnhtbFBLBQYAAAAABgAGAFkBAABfBQAAAAA=&#10;">
              <v:fill on="f" focussize="0,0"/>
              <v:stroke on="f"/>
              <v:imagedata o:title=""/>
              <o:lock v:ext="edit" aspectratio="f"/>
              <v:textbox inset="0mm,0mm,0mm,0mm">
                <w:txbxContent>
                  <w:p>
                    <w:pPr>
                      <w:spacing w:line="321" w:lineRule="exact"/>
                      <w:ind w:left="20"/>
                      <w:rPr>
                        <w:rFonts w:ascii="宋体" w:hAnsi="宋体"/>
                        <w:b/>
                        <w:sz w:val="28"/>
                      </w:rPr>
                    </w:pPr>
                    <w:r>
                      <w:rPr>
                        <w:rFonts w:ascii="宋体" w:hAnsi="宋体"/>
                        <w:b/>
                        <w:sz w:val="28"/>
                      </w:rPr>
                      <w:t xml:space="preserve">— </w:t>
                    </w:r>
                    <w:r>
                      <w:fldChar w:fldCharType="begin"/>
                    </w:r>
                    <w:r>
                      <w:rPr>
                        <w:rFonts w:ascii="宋体" w:hAnsi="宋体"/>
                        <w:b/>
                        <w:sz w:val="28"/>
                      </w:rPr>
                      <w:instrText xml:space="preserve"> PAGE </w:instrText>
                    </w:r>
                    <w:r>
                      <w:fldChar w:fldCharType="separate"/>
                    </w:r>
                    <w:r>
                      <w:rPr>
                        <w:rFonts w:ascii="宋体" w:hAnsi="宋体"/>
                        <w:b/>
                        <w:sz w:val="28"/>
                      </w:rPr>
                      <w:t>7</w:t>
                    </w:r>
                    <w:r>
                      <w:fldChar w:fldCharType="end"/>
                    </w:r>
                    <w:r>
                      <w:rPr>
                        <w:rFonts w:ascii="宋体" w:hAnsi="宋体"/>
                        <w:b/>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1068070</wp:posOffset>
              </wp:positionH>
              <wp:positionV relativeFrom="page">
                <wp:posOffset>9935210</wp:posOffset>
              </wp:positionV>
              <wp:extent cx="69024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0245" cy="203835"/>
                      </a:xfrm>
                      <a:prstGeom prst="rect">
                        <a:avLst/>
                      </a:prstGeom>
                      <a:noFill/>
                      <a:ln w="9525">
                        <a:noFill/>
                      </a:ln>
                    </wps:spPr>
                    <wps:txbx>
                      <w:txbxContent>
                        <w:p>
                          <w:pPr>
                            <w:spacing w:line="321" w:lineRule="exact"/>
                            <w:ind w:left="20"/>
                            <w:rPr>
                              <w:rFonts w:ascii="宋体" w:hAnsi="宋体"/>
                              <w:b/>
                              <w:sz w:val="28"/>
                            </w:rPr>
                          </w:pPr>
                          <w:r>
                            <w:rPr>
                              <w:rFonts w:ascii="宋体" w:hAnsi="宋体"/>
                              <w:b/>
                              <w:sz w:val="28"/>
                            </w:rPr>
                            <w:t xml:space="preserve">— </w:t>
                          </w:r>
                          <w:r>
                            <w:fldChar w:fldCharType="begin"/>
                          </w:r>
                          <w:r>
                            <w:rPr>
                              <w:rFonts w:ascii="宋体" w:hAnsi="宋体"/>
                              <w:b/>
                              <w:sz w:val="28"/>
                            </w:rPr>
                            <w:instrText xml:space="preserve"> PAGE </w:instrText>
                          </w:r>
                          <w:r>
                            <w:fldChar w:fldCharType="separate"/>
                          </w:r>
                          <w:r>
                            <w:rPr>
                              <w:rFonts w:ascii="宋体" w:hAnsi="宋体"/>
                              <w:b/>
                              <w:sz w:val="28"/>
                            </w:rPr>
                            <w:t>8</w:t>
                          </w:r>
                          <w:r>
                            <w:fldChar w:fldCharType="end"/>
                          </w:r>
                          <w:r>
                            <w:rPr>
                              <w:rFonts w:ascii="宋体" w:hAnsi="宋体"/>
                              <w:b/>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84.1pt;margin-top:782.3pt;height:16.05pt;width:54.35pt;mso-position-horizontal-relative:page;mso-position-vertical-relative:page;z-index:-251657216;mso-width-relative:page;mso-height-relative:page;" filled="f" stroked="f" coordsize="21600,21600" o:gfxdata="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t8LG9oAAAANAQAADwAAAAAAAAABACAAAAAiAAAAZHJzL2Rvd25y&#10;ZXYueG1sUEsBAhQAFAAAAAgAh07iQDEKXBPDAQAAegMAAA4AAAAAAAAAAQAgAAAAKQEAAGRycy9l&#10;Mm9Eb2MueG1sUEsFBgAAAAAGAAYAWQEAAF4FAAAAAA==&#10;">
              <v:fill on="f" focussize="0,0"/>
              <v:stroke on="f"/>
              <v:imagedata o:title=""/>
              <o:lock v:ext="edit" aspectratio="f"/>
              <v:textbox inset="0mm,0mm,0mm,0mm">
                <w:txbxContent>
                  <w:p>
                    <w:pPr>
                      <w:spacing w:line="321" w:lineRule="exact"/>
                      <w:ind w:left="20"/>
                      <w:rPr>
                        <w:rFonts w:ascii="宋体" w:hAnsi="宋体"/>
                        <w:b/>
                        <w:sz w:val="28"/>
                      </w:rPr>
                    </w:pPr>
                    <w:r>
                      <w:rPr>
                        <w:rFonts w:ascii="宋体" w:hAnsi="宋体"/>
                        <w:b/>
                        <w:sz w:val="28"/>
                      </w:rPr>
                      <w:t xml:space="preserve">— </w:t>
                    </w:r>
                    <w:r>
                      <w:fldChar w:fldCharType="begin"/>
                    </w:r>
                    <w:r>
                      <w:rPr>
                        <w:rFonts w:ascii="宋体" w:hAnsi="宋体"/>
                        <w:b/>
                        <w:sz w:val="28"/>
                      </w:rPr>
                      <w:instrText xml:space="preserve"> PAGE </w:instrText>
                    </w:r>
                    <w:r>
                      <w:fldChar w:fldCharType="separate"/>
                    </w:r>
                    <w:r>
                      <w:rPr>
                        <w:rFonts w:ascii="宋体" w:hAnsi="宋体"/>
                        <w:b/>
                        <w:sz w:val="28"/>
                      </w:rPr>
                      <w:t>8</w:t>
                    </w:r>
                    <w:r>
                      <w:fldChar w:fldCharType="end"/>
                    </w:r>
                    <w:r>
                      <w:rPr>
                        <w:rFonts w:ascii="宋体" w:hAnsi="宋体"/>
                        <w:b/>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zlkMzkxMzE0NTlmNzlkMzY4Yjk1YmRhYTc4YWMifQ=="/>
  </w:docVars>
  <w:rsids>
    <w:rsidRoot w:val="00CD24A5"/>
    <w:rsid w:val="00097249"/>
    <w:rsid w:val="00335562"/>
    <w:rsid w:val="00A74882"/>
    <w:rsid w:val="00CD24A5"/>
    <w:rsid w:val="00E820BE"/>
    <w:rsid w:val="00FB0473"/>
    <w:rsid w:val="00FE69FF"/>
    <w:rsid w:val="09A3457A"/>
    <w:rsid w:val="12232511"/>
    <w:rsid w:val="2CD35CA3"/>
    <w:rsid w:val="30273FC5"/>
    <w:rsid w:val="404B7FEB"/>
    <w:rsid w:val="44B402A3"/>
    <w:rsid w:val="57522D60"/>
    <w:rsid w:val="6C331971"/>
    <w:rsid w:val="7E4B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Title"/>
    <w:basedOn w:val="1"/>
    <w:qFormat/>
    <w:uiPriority w:val="1"/>
    <w:pPr>
      <w:spacing w:before="107"/>
      <w:ind w:right="179"/>
      <w:jc w:val="center"/>
    </w:pPr>
    <w:rPr>
      <w:rFonts w:ascii="方正小标宋简体" w:hAnsi="方正小标宋简体" w:eastAsia="方正小标宋简体" w:cs="方正小标宋简体"/>
      <w:sz w:val="42"/>
      <w:szCs w:val="4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517</Words>
  <Characters>2949</Characters>
  <Lines>24</Lines>
  <Paragraphs>6</Paragraphs>
  <TotalTime>18</TotalTime>
  <ScaleCrop>false</ScaleCrop>
  <LinksUpToDate>false</LinksUpToDate>
  <CharactersWithSpaces>3460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2022-01-10T02:09:00Z</dcterms:created>
  <dc:creator>86136</dc:creator>
  <cp:lastModifiedBy>田小甜</cp:lastModifiedBy>
  <dcterms:modified xsi:type="dcterms:W3CDTF">2023-11-05T05:46:37Z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Adobe Acrobat Pro DC 20.13.20064</vt:lpwstr>
  </property>
  <property fmtid="{D5CDD505-2E9C-101B-9397-08002B2CF9AE}" pid="4" name="LastSaved">
    <vt:filetime>2022-01-10T00:00:00Z</vt:filetime>
  </property>
  <property fmtid="{D5CDD505-2E9C-101B-9397-08002B2CF9AE}" pid="5" name="KSOProductBuildVer">
    <vt:lpwstr>2052-12.1.0.15712</vt:lpwstr>
  </property>
  <property fmtid="{D5CDD505-2E9C-101B-9397-08002B2CF9AE}" pid="6" name="ICV">
    <vt:lpwstr>E92310B3FC5E4E38AB1E2FE483448C98</vt:lpwstr>
  </property>
</Properties>
</file>