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住建</w:t>
      </w:r>
      <w:r>
        <w:rPr>
          <w:rFonts w:hint="eastAsia" w:ascii="仿宋" w:hAnsi="仿宋" w:eastAsia="仿宋" w:cs="仿宋"/>
          <w:sz w:val="30"/>
          <w:szCs w:val="30"/>
        </w:rPr>
        <w:t>局202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年度行政执法数据表</w:t>
      </w:r>
    </w:p>
    <w:bookmarkEnd w:id="0"/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表1：行政执法机关执法主体汇总表</w:t>
      </w:r>
    </w:p>
    <w:tbl>
      <w:tblPr>
        <w:tblStyle w:val="2"/>
        <w:tblW w:w="138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1049"/>
        <w:gridCol w:w="1243"/>
        <w:gridCol w:w="559"/>
        <w:gridCol w:w="591"/>
        <w:gridCol w:w="965"/>
        <w:gridCol w:w="843"/>
        <w:gridCol w:w="1394"/>
        <w:gridCol w:w="1635"/>
        <w:gridCol w:w="840"/>
        <w:gridCol w:w="1860"/>
        <w:gridCol w:w="727"/>
        <w:gridCol w:w="18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2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执法主体</w:t>
            </w:r>
            <w:r>
              <w:rPr>
                <w:rFonts w:ascii="Times New Roman" w:hAnsi="宋体"/>
                <w:color w:val="000000"/>
                <w:szCs w:val="21"/>
                <w:lang w:bidi="ar"/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主体类别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执法人员</w:t>
            </w:r>
            <w:r>
              <w:rPr>
                <w:rFonts w:ascii="Times New Roman" w:hAnsi="宋体"/>
                <w:color w:val="000000"/>
                <w:szCs w:val="21"/>
                <w:lang w:bidi="ar"/>
              </w:rPr>
              <w:t>编制</w:t>
            </w: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设置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实际在岗执法人员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宋体"/>
                <w:color w:val="000000"/>
                <w:szCs w:val="21"/>
                <w:lang w:bidi="ar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持证人数</w:t>
            </w: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合计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法定行政机关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授权组织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szCs w:val="21"/>
                <w:lang w:bidi="ar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受委托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执法组织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相对集中执法权组织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行政编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pacing w:val="-20"/>
                <w:szCs w:val="21"/>
                <w:lang w:bidi="ar"/>
              </w:rPr>
              <w:t>财政保障的</w:t>
            </w: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事业编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行政编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</w:t>
            </w:r>
            <w:r>
              <w:rPr>
                <w:rFonts w:hint="eastAsia" w:ascii="Times New Roman" w:hAnsi="宋体"/>
                <w:color w:val="000000"/>
                <w:spacing w:val="-20"/>
                <w:szCs w:val="21"/>
                <w:lang w:bidi="ar"/>
              </w:rPr>
              <w:t>财政保障的</w:t>
            </w: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事业编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本级名称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曾都区住房和城乡建设局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二级单位名称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曾都区建筑市场管理站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曾都区住房和城乡建设局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区建筑工程质量和安全监督站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曾都区住房和城乡建设局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区墙体材料革新与建筑节能办公室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曾都区住房和城乡建设局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房屋征收中心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曾都区住房和城乡建设局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曾都区城建档案管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曾都区住房和城乡建设局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曾都区住房和城乡建设局开发分局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曾都区住房和城乡建设局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仿宋" w:hAnsi="仿宋" w:eastAsia="宋体" w:cs="仿宋"/>
          <w:lang w:val="en-US" w:eastAsia="zh-CN"/>
        </w:rPr>
      </w:pPr>
      <w:r>
        <w:rPr>
          <w:rFonts w:hint="eastAsia" w:ascii="宋体" w:hAnsi="宋体" w:cs="宋体"/>
        </w:rPr>
        <w:t>备注：涉及委托执法的，要在“备注”栏中注明委托单位和受委托单位。</w:t>
      </w:r>
      <w:r>
        <w:rPr>
          <w:rFonts w:hint="eastAsia" w:ascii="宋体" w:hAnsi="宋体" w:cs="宋体"/>
          <w:lang w:val="en-US" w:eastAsia="zh-CN"/>
        </w:rPr>
        <w:t>+</w:t>
      </w: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表2：行政处罚实施情况年度统计表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5"/>
        <w:gridCol w:w="1785"/>
        <w:gridCol w:w="1185"/>
        <w:gridCol w:w="1005"/>
        <w:gridCol w:w="1170"/>
        <w:gridCol w:w="1215"/>
        <w:gridCol w:w="1080"/>
        <w:gridCol w:w="1395"/>
        <w:gridCol w:w="1395"/>
        <w:gridCol w:w="105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78" w:type="dxa"/>
            <w:gridSpan w:val="10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行政处罚实施数量（宗）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警告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罚款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没收违法所得、没收非法财物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暂扣许可证、执照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责令停产停业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吊销许可证、执照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行政拘留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其他行政处罚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合计（宗）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罚没金额（万元）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法定执法主体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委托执法主体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1.5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24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表3：行政许可实施情况年度统计表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17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073" w:type="dxa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行政许可实施数量（宗）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申请数量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受理数量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许可数量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不予许可数量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撤销许可数量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表4：行政强制实施情况年度统计表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419"/>
        <w:gridCol w:w="943"/>
        <w:gridCol w:w="1181"/>
        <w:gridCol w:w="1181"/>
        <w:gridCol w:w="520"/>
        <w:gridCol w:w="780"/>
        <w:gridCol w:w="1140"/>
        <w:gridCol w:w="91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4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行政强制措施实施数量（宗）</w:t>
            </w:r>
          </w:p>
        </w:tc>
        <w:tc>
          <w:tcPr>
            <w:tcW w:w="7164" w:type="dxa"/>
            <w:gridSpan w:val="7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行政强制执行实施数量（宗）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合计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查封场所、设施或者财物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扣押财物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冻结存款、汇款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其他行政强制措施</w:t>
            </w:r>
          </w:p>
        </w:tc>
        <w:tc>
          <w:tcPr>
            <w:tcW w:w="7164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行政机关强制执行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371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加处罚款或者滞纳金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划拨存款、汇款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拍卖或者依法处理查封、扣押的场所、设施或者财物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排除妨碍、恢复原状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代履行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其他强制执行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申请法院强制执行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表5：其他行政执法行为实施情况年度统计表</w:t>
      </w:r>
    </w:p>
    <w:tbl>
      <w:tblPr>
        <w:tblStyle w:val="2"/>
        <w:tblW w:w="0" w:type="auto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55"/>
        <w:gridCol w:w="1065"/>
        <w:gridCol w:w="735"/>
        <w:gridCol w:w="1290"/>
        <w:gridCol w:w="765"/>
        <w:gridCol w:w="1305"/>
        <w:gridCol w:w="1140"/>
        <w:gridCol w:w="705"/>
        <w:gridCol w:w="1155"/>
        <w:gridCol w:w="2145"/>
        <w:gridCol w:w="660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行政征收</w:t>
            </w:r>
          </w:p>
        </w:tc>
        <w:tc>
          <w:tcPr>
            <w:tcW w:w="10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行政检查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行政裁决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行政给付</w:t>
            </w:r>
          </w:p>
        </w:tc>
        <w:tc>
          <w:tcPr>
            <w:tcW w:w="11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行政确认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行政奖励</w:t>
            </w:r>
          </w:p>
        </w:tc>
        <w:tc>
          <w:tcPr>
            <w:tcW w:w="2145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其他行政执法行为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4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征收总金额（万元）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涉及金额（万元）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给付总金额（万元）</w:t>
            </w:r>
          </w:p>
        </w:tc>
        <w:tc>
          <w:tcPr>
            <w:tcW w:w="114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1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奖励总金额（万元）</w:t>
            </w:r>
          </w:p>
        </w:tc>
        <w:tc>
          <w:tcPr>
            <w:tcW w:w="2145" w:type="dxa"/>
            <w:tcBorders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宗数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法定执法主体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委托执法主体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62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114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2145" w:type="dxa"/>
            <w:tcBorders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rPr>
                <w:rFonts w:hint="eastAsia" w:ascii="宋体" w:hAnsi="宋体" w:cs="宋体"/>
              </w:rPr>
            </w:pP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杨钦</cp:lastModifiedBy>
  <dcterms:modified xsi:type="dcterms:W3CDTF">2020-11-16T09:18:56Z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