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2052D">
      <w:pPr>
        <w:spacing w:before="468" w:beforeLines="150" w:after="468" w:afterLines="150" w:line="550" w:lineRule="exact"/>
        <w:jc w:val="center"/>
        <w:rPr>
          <w:rFonts w:ascii="Times New Roman" w:hAnsi="Times New Roman" w:eastAsia="方正小标宋_GBK" w:cs="Times New Roman"/>
          <w:sz w:val="40"/>
          <w:szCs w:val="48"/>
        </w:rPr>
      </w:pPr>
      <w:r>
        <w:rPr>
          <w:rFonts w:hint="eastAsia" w:ascii="Times New Roman" w:hAnsi="Times New Roman" w:eastAsia="方正小标宋_GBK" w:cs="Times New Roman"/>
          <w:sz w:val="40"/>
          <w:szCs w:val="48"/>
          <w:lang w:val="en-US" w:eastAsia="zh-CN"/>
        </w:rPr>
        <w:t>随州市曾都区文化和旅游局</w:t>
      </w:r>
      <w:r>
        <w:rPr>
          <w:rFonts w:ascii="Times New Roman" w:hAnsi="Times New Roman" w:eastAsia="方正小标宋_GBK" w:cs="Times New Roman"/>
          <w:sz w:val="40"/>
          <w:szCs w:val="48"/>
        </w:rPr>
        <w:t>行政检查事项和依据公示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550"/>
        <w:gridCol w:w="2688"/>
        <w:gridCol w:w="5073"/>
        <w:gridCol w:w="1767"/>
      </w:tblGrid>
      <w:tr w14:paraId="2CC3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4" w:type="dxa"/>
            <w:vAlign w:val="center"/>
          </w:tcPr>
          <w:p w14:paraId="3E4D5BAC">
            <w:pPr>
              <w:spacing w:line="55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2550" w:type="dxa"/>
            <w:vAlign w:val="center"/>
          </w:tcPr>
          <w:p w14:paraId="2C8E193E">
            <w:pPr>
              <w:spacing w:line="550" w:lineRule="exact"/>
              <w:jc w:val="center"/>
              <w:rPr>
                <w:rFonts w:ascii="Times New Roman" w:hAnsi="Times New Roman" w:eastAsia="仿宋_GB2312" w:cs="Times New Roman"/>
                <w:sz w:val="32"/>
                <w:szCs w:val="32"/>
              </w:rPr>
            </w:pPr>
            <w:r>
              <w:rPr>
                <w:rFonts w:ascii="Times New Roman" w:hAnsi="Times New Roman" w:eastAsia="黑体" w:cs="Times New Roman"/>
                <w:sz w:val="28"/>
                <w:szCs w:val="28"/>
              </w:rPr>
              <w:t>行政检查事项名称</w:t>
            </w:r>
          </w:p>
        </w:tc>
        <w:tc>
          <w:tcPr>
            <w:tcW w:w="2688" w:type="dxa"/>
            <w:vAlign w:val="center"/>
          </w:tcPr>
          <w:p w14:paraId="511AD043">
            <w:pPr>
              <w:spacing w:line="550" w:lineRule="exact"/>
              <w:jc w:val="center"/>
              <w:rPr>
                <w:rFonts w:ascii="Times New Roman" w:hAnsi="Times New Roman" w:eastAsia="仿宋_GB2312" w:cs="Times New Roman"/>
                <w:sz w:val="32"/>
                <w:szCs w:val="32"/>
              </w:rPr>
            </w:pPr>
            <w:r>
              <w:rPr>
                <w:rFonts w:ascii="Times New Roman" w:hAnsi="Times New Roman" w:eastAsia="黑体" w:cs="Times New Roman"/>
                <w:sz w:val="28"/>
                <w:szCs w:val="28"/>
              </w:rPr>
              <w:t>检查依据</w:t>
            </w:r>
          </w:p>
        </w:tc>
        <w:tc>
          <w:tcPr>
            <w:tcW w:w="5073" w:type="dxa"/>
            <w:vAlign w:val="center"/>
          </w:tcPr>
          <w:p w14:paraId="65967D7E">
            <w:pPr>
              <w:spacing w:line="55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承办机构</w:t>
            </w:r>
          </w:p>
        </w:tc>
        <w:tc>
          <w:tcPr>
            <w:tcW w:w="1767" w:type="dxa"/>
            <w:vAlign w:val="center"/>
          </w:tcPr>
          <w:p w14:paraId="5C56588C">
            <w:pPr>
              <w:spacing w:line="55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执法范围</w:t>
            </w:r>
          </w:p>
        </w:tc>
      </w:tr>
      <w:tr w14:paraId="3FC2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2F81D36D">
            <w:pPr>
              <w:spacing w:line="38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w:t>
            </w:r>
          </w:p>
        </w:tc>
        <w:tc>
          <w:tcPr>
            <w:tcW w:w="2550" w:type="dxa"/>
            <w:vAlign w:val="center"/>
          </w:tcPr>
          <w:p w14:paraId="32D6C163">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对互联网上网服务经营活动的监管管理</w:t>
            </w:r>
          </w:p>
        </w:tc>
        <w:tc>
          <w:tcPr>
            <w:tcW w:w="2688" w:type="dxa"/>
            <w:vAlign w:val="center"/>
          </w:tcPr>
          <w:p w14:paraId="76FA167E">
            <w:pPr>
              <w:spacing w:line="320" w:lineRule="exact"/>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24"/>
                <w:szCs w:val="32"/>
              </w:rPr>
              <w:t>《互联网上网服务营业场所管理条例》</w:t>
            </w:r>
            <w:r>
              <w:rPr>
                <w:rFonts w:hint="eastAsia" w:ascii="仿宋_GB2312" w:hAnsi="黑体" w:eastAsia="仿宋_GB2312" w:cs="黑体"/>
                <w:sz w:val="24"/>
              </w:rPr>
              <w:t>第四条：</w:t>
            </w:r>
            <w:r>
              <w:rPr>
                <w:rFonts w:hint="eastAsia" w:ascii="仿宋_GB2312" w:hAnsi="仿宋_GB2312" w:eastAsia="仿宋_GB2312" w:cs="仿宋_GB2312"/>
                <w:sz w:val="24"/>
              </w:rPr>
              <w:t>　县级以上人民政府文化行政部门负责互联网上网服务营业场所经营单位的设立审批，并负责对依法设立的互联网上网服务营业场所经营单位经营活动的监督管理。</w:t>
            </w:r>
          </w:p>
        </w:tc>
        <w:tc>
          <w:tcPr>
            <w:tcW w:w="5073" w:type="dxa"/>
            <w:vAlign w:val="center"/>
          </w:tcPr>
          <w:p w14:paraId="7D959C58">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曾都区文化和旅游局</w:t>
            </w:r>
          </w:p>
        </w:tc>
        <w:tc>
          <w:tcPr>
            <w:tcW w:w="1767" w:type="dxa"/>
            <w:vAlign w:val="center"/>
          </w:tcPr>
          <w:p w14:paraId="3E18515D">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除高新区外</w:t>
            </w:r>
          </w:p>
          <w:p w14:paraId="673C9B27">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城区范围内</w:t>
            </w:r>
          </w:p>
        </w:tc>
      </w:tr>
      <w:tr w14:paraId="2744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vAlign w:val="center"/>
          </w:tcPr>
          <w:p w14:paraId="3F94B8EE">
            <w:pPr>
              <w:spacing w:line="38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w:t>
            </w:r>
          </w:p>
        </w:tc>
        <w:tc>
          <w:tcPr>
            <w:tcW w:w="2550" w:type="dxa"/>
            <w:vAlign w:val="center"/>
          </w:tcPr>
          <w:p w14:paraId="427DC00A">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对娱乐场所经营活动的监督管理</w:t>
            </w:r>
          </w:p>
        </w:tc>
        <w:tc>
          <w:tcPr>
            <w:tcW w:w="2688" w:type="dxa"/>
            <w:vAlign w:val="center"/>
          </w:tcPr>
          <w:p w14:paraId="0B4F19FB">
            <w:pPr>
              <w:spacing w:line="320" w:lineRule="exact"/>
              <w:jc w:val="left"/>
              <w:rPr>
                <w:rFonts w:hint="eastAsia" w:ascii="仿宋_GB2312" w:hAnsi="Times New Roman" w:eastAsia="仿宋_GB2312" w:cs="Times New Roman"/>
                <w:sz w:val="24"/>
              </w:rPr>
            </w:pPr>
            <w:r>
              <w:rPr>
                <w:rFonts w:hint="eastAsia" w:ascii="仿宋_GB2312" w:hAnsi="仿宋_GB2312" w:eastAsia="仿宋_GB2312" w:cs="仿宋_GB2312"/>
                <w:bCs/>
                <w:sz w:val="24"/>
              </w:rPr>
              <w:t>《娱乐场所管理条例》第三条：县级以上人民政府文化主管部门负责对娱乐场所日常经营活动的监督管理。</w:t>
            </w:r>
          </w:p>
        </w:tc>
        <w:tc>
          <w:tcPr>
            <w:tcW w:w="5073" w:type="dxa"/>
            <w:vAlign w:val="center"/>
          </w:tcPr>
          <w:p w14:paraId="6C35F8D3">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曾都区文化和旅游局</w:t>
            </w:r>
          </w:p>
        </w:tc>
        <w:tc>
          <w:tcPr>
            <w:tcW w:w="1767" w:type="dxa"/>
            <w:vAlign w:val="center"/>
          </w:tcPr>
          <w:p w14:paraId="011DDC45">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除高新区外</w:t>
            </w:r>
          </w:p>
          <w:p w14:paraId="21369AD8">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城区范围内</w:t>
            </w:r>
          </w:p>
        </w:tc>
      </w:tr>
      <w:tr w14:paraId="6E01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vAlign w:val="center"/>
          </w:tcPr>
          <w:p w14:paraId="11B715AA">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3</w:t>
            </w:r>
          </w:p>
        </w:tc>
        <w:tc>
          <w:tcPr>
            <w:tcW w:w="2550" w:type="dxa"/>
            <w:vAlign w:val="center"/>
          </w:tcPr>
          <w:p w14:paraId="6A8FD7DC">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对旅游市场的监督管理</w:t>
            </w:r>
          </w:p>
        </w:tc>
        <w:tc>
          <w:tcPr>
            <w:tcW w:w="2688" w:type="dxa"/>
            <w:vAlign w:val="center"/>
          </w:tcPr>
          <w:p w14:paraId="72566016">
            <w:pPr>
              <w:spacing w:line="320" w:lineRule="exact"/>
              <w:jc w:val="left"/>
              <w:rPr>
                <w:rFonts w:hint="eastAsia" w:ascii="仿宋_GB2312" w:eastAsia="仿宋_GB2312"/>
                <w:color w:val="000000"/>
                <w:sz w:val="24"/>
                <w:shd w:val="clear" w:color="auto" w:fill="FFFFFF"/>
              </w:rPr>
            </w:pPr>
            <w:r>
              <w:rPr>
                <w:rFonts w:hint="eastAsia" w:ascii="仿宋_GB2312" w:hAnsi="Times New Roman" w:eastAsia="仿宋_GB2312" w:cs="Times New Roman"/>
                <w:sz w:val="24"/>
              </w:rPr>
              <w:t>1.《</w:t>
            </w:r>
            <w:r>
              <w:rPr>
                <w:rStyle w:val="7"/>
                <w:rFonts w:hint="eastAsia" w:ascii="仿宋_GB2312" w:eastAsia="仿宋_GB2312"/>
                <w:b w:val="0"/>
                <w:color w:val="000000"/>
                <w:sz w:val="24"/>
                <w:shd w:val="clear" w:color="auto" w:fill="FFFFFF"/>
              </w:rPr>
              <w:t>中华人民共和国旅游法</w:t>
            </w:r>
            <w:r>
              <w:rPr>
                <w:rFonts w:hint="eastAsia" w:ascii="仿宋_GB2312" w:hAnsi="Times New Roman" w:eastAsia="仿宋_GB2312" w:cs="Times New Roman"/>
                <w:sz w:val="24"/>
              </w:rPr>
              <w:t>》</w:t>
            </w:r>
            <w:r>
              <w:rPr>
                <w:rFonts w:hint="eastAsia" w:ascii="仿宋_GB2312" w:eastAsia="仿宋_GB2312"/>
                <w:color w:val="000000"/>
                <w:sz w:val="24"/>
                <w:shd w:val="clear" w:color="auto" w:fill="FFFFFF"/>
              </w:rPr>
              <w:t>第八十三条：县级以上人民政府旅游主管部门和有关部门依照本法和有关法律、法规的规定，在各自职责范围内对旅游市场实施监督管理。</w:t>
            </w:r>
          </w:p>
          <w:p w14:paraId="5BE8F9FC">
            <w:pPr>
              <w:spacing w:line="320" w:lineRule="exact"/>
              <w:jc w:val="left"/>
              <w:rPr>
                <w:rFonts w:hint="eastAsia" w:ascii="仿宋_GB2312" w:hAnsi="Times New Roman" w:eastAsia="仿宋_GB2312" w:cs="Times New Roman"/>
                <w:sz w:val="24"/>
              </w:rPr>
            </w:pPr>
            <w:r>
              <w:rPr>
                <w:rFonts w:hint="eastAsia" w:ascii="仿宋_GB2312" w:hAnsi="Times New Roman" w:eastAsia="仿宋_GB2312" w:cs="Times New Roman"/>
                <w:sz w:val="24"/>
              </w:rPr>
              <w:t>2.《旅行社条例》第三条：</w:t>
            </w:r>
            <w:r>
              <w:rPr>
                <w:rFonts w:hint="eastAsia" w:ascii="仿宋_GB2312" w:eastAsia="仿宋_GB2312"/>
                <w:color w:val="000000"/>
                <w:sz w:val="24"/>
                <w:shd w:val="clear" w:color="auto" w:fill="FFFFFF"/>
              </w:rPr>
              <w:t>县级以上地方人民政府管理旅游工作的部门按照职责负责本行政区域内旅行社的监督管理工作。</w:t>
            </w:r>
          </w:p>
        </w:tc>
        <w:tc>
          <w:tcPr>
            <w:tcW w:w="5073" w:type="dxa"/>
            <w:vAlign w:val="center"/>
          </w:tcPr>
          <w:p w14:paraId="46FF528B">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曾都区文化和旅游局</w:t>
            </w:r>
          </w:p>
        </w:tc>
        <w:tc>
          <w:tcPr>
            <w:tcW w:w="1767" w:type="dxa"/>
            <w:vAlign w:val="center"/>
          </w:tcPr>
          <w:p w14:paraId="787FDE87">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除高新区外</w:t>
            </w:r>
          </w:p>
          <w:p w14:paraId="0ACE9403">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城区范围内</w:t>
            </w:r>
          </w:p>
        </w:tc>
      </w:tr>
      <w:tr w14:paraId="127C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vAlign w:val="center"/>
          </w:tcPr>
          <w:p w14:paraId="54F79931">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4</w:t>
            </w:r>
          </w:p>
        </w:tc>
        <w:tc>
          <w:tcPr>
            <w:tcW w:w="2550" w:type="dxa"/>
            <w:vAlign w:val="center"/>
          </w:tcPr>
          <w:p w14:paraId="4A3B4175">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对营业性演出活动的监督管理</w:t>
            </w:r>
          </w:p>
        </w:tc>
        <w:tc>
          <w:tcPr>
            <w:tcW w:w="2688" w:type="dxa"/>
            <w:vAlign w:val="center"/>
          </w:tcPr>
          <w:p w14:paraId="33D70093">
            <w:pPr>
              <w:spacing w:line="320" w:lineRule="exact"/>
              <w:jc w:val="left"/>
              <w:rPr>
                <w:rFonts w:hint="eastAsia" w:ascii="仿宋_GB2312" w:hAnsi="Times New Roman" w:eastAsia="仿宋_GB2312" w:cs="Times New Roman"/>
                <w:sz w:val="24"/>
              </w:rPr>
            </w:pPr>
            <w:r>
              <w:rPr>
                <w:rFonts w:hint="eastAsia" w:ascii="仿宋_GB2312" w:hAnsi="Times New Roman" w:eastAsia="仿宋_GB2312" w:cs="Times New Roman"/>
                <w:sz w:val="24"/>
              </w:rPr>
              <w:t>《营业性演出管理条例》第五条第二款：</w:t>
            </w:r>
            <w:r>
              <w:rPr>
                <w:rFonts w:hint="eastAsia" w:ascii="仿宋_GB2312" w:eastAsia="仿宋_GB2312"/>
                <w:sz w:val="24"/>
                <w:shd w:val="clear" w:color="auto" w:fill="FFFFFF"/>
              </w:rPr>
              <w:t>县级以上地方人民政府文化主管部门负责本行政区域内营业性演出的监督管理工作。</w:t>
            </w:r>
          </w:p>
        </w:tc>
        <w:tc>
          <w:tcPr>
            <w:tcW w:w="5073" w:type="dxa"/>
            <w:vAlign w:val="center"/>
          </w:tcPr>
          <w:p w14:paraId="286E46B0">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曾都区文化和旅游局</w:t>
            </w:r>
          </w:p>
        </w:tc>
        <w:tc>
          <w:tcPr>
            <w:tcW w:w="1767" w:type="dxa"/>
            <w:vAlign w:val="center"/>
          </w:tcPr>
          <w:p w14:paraId="7491F05A">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除高新区外</w:t>
            </w:r>
          </w:p>
          <w:p w14:paraId="266E15F7">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城区范围内</w:t>
            </w:r>
          </w:p>
        </w:tc>
      </w:tr>
      <w:tr w14:paraId="0948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vAlign w:val="center"/>
          </w:tcPr>
          <w:p w14:paraId="1A7CB833">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5</w:t>
            </w:r>
          </w:p>
        </w:tc>
        <w:tc>
          <w:tcPr>
            <w:tcW w:w="2550" w:type="dxa"/>
            <w:vAlign w:val="center"/>
          </w:tcPr>
          <w:p w14:paraId="71DF6B9B">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对文物保护实施监督管理</w:t>
            </w:r>
          </w:p>
        </w:tc>
        <w:tc>
          <w:tcPr>
            <w:tcW w:w="2688" w:type="dxa"/>
            <w:vAlign w:val="center"/>
          </w:tcPr>
          <w:p w14:paraId="2A51D967">
            <w:pPr>
              <w:spacing w:line="320" w:lineRule="exact"/>
              <w:jc w:val="left"/>
              <w:rPr>
                <w:rFonts w:hint="eastAsia" w:ascii="仿宋_GB2312" w:hAnsi="Times New Roman" w:eastAsia="仿宋_GB2312" w:cs="Times New Roman"/>
                <w:sz w:val="24"/>
              </w:rPr>
            </w:pPr>
            <w:r>
              <w:rPr>
                <w:rFonts w:hint="eastAsia" w:ascii="仿宋_GB2312" w:hAnsi="Times New Roman" w:eastAsia="仿宋_GB2312" w:cs="Times New Roman"/>
                <w:sz w:val="24"/>
              </w:rPr>
              <w:t>《中华人民共和国文物保护法》第九条第二款：</w:t>
            </w:r>
            <w:r>
              <w:rPr>
                <w:rFonts w:hint="eastAsia" w:ascii="仿宋_GB2312" w:eastAsia="仿宋_GB2312"/>
                <w:sz w:val="24"/>
                <w:shd w:val="clear" w:color="auto" w:fill="FFFFFF"/>
              </w:rPr>
              <w:t>县级以上地方人民政府文物行政部门对本行政区域内的文物保护实施监督管理。</w:t>
            </w:r>
          </w:p>
        </w:tc>
        <w:tc>
          <w:tcPr>
            <w:tcW w:w="5073" w:type="dxa"/>
            <w:vAlign w:val="center"/>
          </w:tcPr>
          <w:p w14:paraId="34483A9D">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曾都区文化和旅游局</w:t>
            </w:r>
          </w:p>
        </w:tc>
        <w:tc>
          <w:tcPr>
            <w:tcW w:w="1767" w:type="dxa"/>
            <w:vAlign w:val="center"/>
          </w:tcPr>
          <w:p w14:paraId="1DB9A94B">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除高新区外</w:t>
            </w:r>
          </w:p>
          <w:p w14:paraId="259BD961">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城区范围内</w:t>
            </w:r>
          </w:p>
        </w:tc>
      </w:tr>
      <w:tr w14:paraId="7E41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vAlign w:val="center"/>
          </w:tcPr>
          <w:p w14:paraId="1B3133DE">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6</w:t>
            </w:r>
          </w:p>
        </w:tc>
        <w:tc>
          <w:tcPr>
            <w:tcW w:w="2550" w:type="dxa"/>
            <w:vAlign w:val="center"/>
          </w:tcPr>
          <w:p w14:paraId="5495D6BC">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对体育赛事活动及从事高危险性体育项目经营活动的监督管理</w:t>
            </w:r>
          </w:p>
        </w:tc>
        <w:tc>
          <w:tcPr>
            <w:tcW w:w="2688" w:type="dxa"/>
            <w:vAlign w:val="center"/>
          </w:tcPr>
          <w:p w14:paraId="4B48467E">
            <w:pPr>
              <w:spacing w:line="320" w:lineRule="exact"/>
              <w:jc w:val="left"/>
              <w:rPr>
                <w:rFonts w:hint="eastAsia" w:ascii="仿宋_GB2312" w:hAnsi="Times New Roman" w:eastAsia="仿宋_GB2312" w:cs="Times New Roman"/>
                <w:sz w:val="24"/>
              </w:rPr>
            </w:pPr>
            <w:r>
              <w:rPr>
                <w:rFonts w:hint="eastAsia" w:ascii="仿宋_GB2312" w:hAnsi="Times New Roman" w:eastAsia="仿宋_GB2312" w:cs="Times New Roman"/>
                <w:sz w:val="24"/>
              </w:rPr>
              <w:t>《中华人民共和国体育法》第一百零一条：县级以上人民政府体育行政部门和有关部门应当积极履行监督检查职责，发现违反本法规定行为的，应当及时做出处理。对不属于本部门主管事项的，应当及时书面通知并移交相关部门查处。</w:t>
            </w:r>
          </w:p>
          <w:p w14:paraId="0E9B3A67">
            <w:pPr>
              <w:spacing w:line="320" w:lineRule="exact"/>
              <w:jc w:val="left"/>
              <w:rPr>
                <w:rFonts w:hint="eastAsia" w:ascii="仿宋_GB2312" w:hAnsi="Times New Roman" w:eastAsia="仿宋_GB2312" w:cs="Times New Roman"/>
                <w:sz w:val="24"/>
              </w:rPr>
            </w:pPr>
            <w:r>
              <w:rPr>
                <w:rFonts w:hint="eastAsia" w:ascii="仿宋_GB2312" w:hAnsi="Times New Roman" w:eastAsia="仿宋_GB2312" w:cs="Times New Roman"/>
                <w:sz w:val="24"/>
              </w:rPr>
              <w:t>《中华人民共和国体育法》第一百零二条：县级以上人民政府体育行政部门对体育赛事活动依法进行监管，对赛事活动场地实施现场检查，查阅、复制有关合同、票据、账簿，检查赛事活动组织方案、安全应急预案等材料。</w:t>
            </w:r>
          </w:p>
          <w:p w14:paraId="764D32F8">
            <w:pPr>
              <w:spacing w:line="320" w:lineRule="exact"/>
              <w:jc w:val="left"/>
              <w:rPr>
                <w:rFonts w:hint="eastAsia" w:ascii="仿宋_GB2312" w:hAnsi="Times New Roman" w:eastAsia="仿宋_GB2312" w:cs="Times New Roman"/>
                <w:sz w:val="24"/>
              </w:rPr>
            </w:pPr>
            <w:r>
              <w:rPr>
                <w:rFonts w:hint="eastAsia" w:ascii="仿宋_GB2312" w:eastAsia="仿宋_GB2312"/>
                <w:sz w:val="24"/>
                <w:shd w:val="clear" w:color="auto" w:fill="FFFFFF"/>
              </w:rPr>
              <w:t>《经营高危险性体育项目许可管理办法》第十七条第二款：</w:t>
            </w:r>
            <w:r>
              <w:rPr>
                <w:rFonts w:hint="eastAsia" w:ascii="仿宋_GB2312" w:hAnsi="微软雅黑" w:eastAsia="仿宋_GB2312"/>
                <w:sz w:val="24"/>
                <w:shd w:val="clear" w:color="auto" w:fill="FFFFFF"/>
              </w:rPr>
              <w:t>县级以上地方人民政府体育主管部门应当对经营者从事行政许可事项的活动实施有效监督。</w:t>
            </w:r>
          </w:p>
        </w:tc>
        <w:tc>
          <w:tcPr>
            <w:tcW w:w="5073" w:type="dxa"/>
            <w:vAlign w:val="center"/>
          </w:tcPr>
          <w:p w14:paraId="4EC21319">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曾都区文化和旅游局</w:t>
            </w:r>
          </w:p>
        </w:tc>
        <w:tc>
          <w:tcPr>
            <w:tcW w:w="1767" w:type="dxa"/>
            <w:vAlign w:val="center"/>
          </w:tcPr>
          <w:p w14:paraId="3AA925BB">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除高新区外</w:t>
            </w:r>
          </w:p>
          <w:p w14:paraId="10C79F24">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城区范围内</w:t>
            </w:r>
          </w:p>
        </w:tc>
      </w:tr>
      <w:tr w14:paraId="30F3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vAlign w:val="center"/>
          </w:tcPr>
          <w:p w14:paraId="61329102">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7</w:t>
            </w:r>
          </w:p>
        </w:tc>
        <w:tc>
          <w:tcPr>
            <w:tcW w:w="2550" w:type="dxa"/>
            <w:vAlign w:val="center"/>
          </w:tcPr>
          <w:p w14:paraId="0E1AB650">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对艺术品经营活动的监督管理</w:t>
            </w:r>
          </w:p>
        </w:tc>
        <w:tc>
          <w:tcPr>
            <w:tcW w:w="2688" w:type="dxa"/>
            <w:vAlign w:val="center"/>
          </w:tcPr>
          <w:p w14:paraId="23F62738">
            <w:pPr>
              <w:spacing w:line="320" w:lineRule="exact"/>
              <w:jc w:val="left"/>
              <w:rPr>
                <w:rFonts w:hint="eastAsia" w:ascii="仿宋_GB2312" w:hAnsi="Times New Roman" w:eastAsia="仿宋_GB2312" w:cs="Times New Roman"/>
                <w:sz w:val="24"/>
              </w:rPr>
            </w:pPr>
            <w:r>
              <w:rPr>
                <w:rFonts w:hint="eastAsia" w:ascii="仿宋_GB2312" w:hAnsi="Times New Roman" w:eastAsia="仿宋_GB2312" w:cs="Times New Roman"/>
                <w:sz w:val="24"/>
              </w:rPr>
              <w:t>《艺术品经营管理办法》第三条第三款：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c>
          <w:tcPr>
            <w:tcW w:w="5073" w:type="dxa"/>
            <w:vAlign w:val="center"/>
          </w:tcPr>
          <w:p w14:paraId="67CEFA64">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曾都区文化和旅游局</w:t>
            </w:r>
          </w:p>
        </w:tc>
        <w:tc>
          <w:tcPr>
            <w:tcW w:w="1767" w:type="dxa"/>
            <w:vAlign w:val="center"/>
          </w:tcPr>
          <w:p w14:paraId="70E29F8A">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除高新区外</w:t>
            </w:r>
          </w:p>
          <w:p w14:paraId="56EF7923">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城区范围内</w:t>
            </w:r>
          </w:p>
        </w:tc>
      </w:tr>
      <w:tr w14:paraId="310A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vAlign w:val="center"/>
          </w:tcPr>
          <w:p w14:paraId="38DEBAC5">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8</w:t>
            </w:r>
          </w:p>
        </w:tc>
        <w:tc>
          <w:tcPr>
            <w:tcW w:w="2550" w:type="dxa"/>
            <w:vAlign w:val="center"/>
          </w:tcPr>
          <w:p w14:paraId="350867FE">
            <w:pPr>
              <w:spacing w:line="380" w:lineRule="exact"/>
              <w:jc w:val="center"/>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互联网文化活动的监督管理</w:t>
            </w:r>
          </w:p>
        </w:tc>
        <w:tc>
          <w:tcPr>
            <w:tcW w:w="2688" w:type="dxa"/>
            <w:vAlign w:val="center"/>
          </w:tcPr>
          <w:p w14:paraId="19CB0D3C">
            <w:pPr>
              <w:spacing w:line="320" w:lineRule="exact"/>
              <w:jc w:val="left"/>
              <w:rPr>
                <w:rFonts w:hint="eastAsia" w:ascii="仿宋_GB2312" w:hAnsi="Times New Roman" w:eastAsia="仿宋_GB2312" w:cs="Times New Roman"/>
                <w:sz w:val="24"/>
              </w:rPr>
            </w:pPr>
            <w:r>
              <w:rPr>
                <w:rFonts w:hint="eastAsia" w:ascii="仿宋_GB2312" w:hAnsi="Times New Roman" w:eastAsia="仿宋_GB2312" w:cs="Times New Roman"/>
                <w:sz w:val="24"/>
              </w:rPr>
              <w:t>《互联网文化管理暂行规定》第六条：县级以上人民政府文化行政部门负责本行政区域内互联网文化活动的监督管理工作。县级以上人民政府文化行政部门或者文化市场综合执法机构对从事互联网文化活动违反国家有关法规的行为实施处罚。</w:t>
            </w:r>
          </w:p>
        </w:tc>
        <w:tc>
          <w:tcPr>
            <w:tcW w:w="5073" w:type="dxa"/>
            <w:vAlign w:val="center"/>
          </w:tcPr>
          <w:p w14:paraId="0159705A">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曾都区文化和旅游局</w:t>
            </w:r>
          </w:p>
        </w:tc>
        <w:tc>
          <w:tcPr>
            <w:tcW w:w="1767" w:type="dxa"/>
            <w:vAlign w:val="center"/>
          </w:tcPr>
          <w:p w14:paraId="6B318D7B">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除高新区外</w:t>
            </w:r>
          </w:p>
          <w:p w14:paraId="371D986B">
            <w:pPr>
              <w:spacing w:line="380" w:lineRule="exact"/>
              <w:jc w:val="center"/>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城区范围内</w:t>
            </w:r>
            <w:bookmarkStart w:id="0" w:name="_GoBack"/>
            <w:bookmarkEnd w:id="0"/>
          </w:p>
        </w:tc>
      </w:tr>
      <w:tr w14:paraId="5663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12902" w:type="dxa"/>
            <w:gridSpan w:val="5"/>
          </w:tcPr>
          <w:p w14:paraId="1529A5BC">
            <w:pPr>
              <w:spacing w:line="500" w:lineRule="exact"/>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注：行政检查事项填写要严格落实权责清单制度，梳理本领域现有的涉企行政检查事项并实行动态管理，对没有法定依据的要坚决清理，对法定依据发生变化的要及时调整，对没有实际成效的要予以取消。行政检查事项未经公布的，不得实施。检查依据填写要对应检查事项涉及的法律、法规、规章的全称。</w:t>
            </w:r>
          </w:p>
        </w:tc>
      </w:tr>
    </w:tbl>
    <w:p w14:paraId="7955FD96"/>
    <w:sectPr>
      <w:footerReference r:id="rId3" w:type="default"/>
      <w:pgSz w:w="16838" w:h="11906" w:orient="landscape"/>
      <w:pgMar w:top="1587" w:right="2098" w:bottom="1474" w:left="19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8CF3C52" w:usb2="00000016" w:usb3="00000000" w:csb0="0004001F" w:csb1="00000000"/>
  </w:font>
  <w:font w:name="SimSun-ExtB">
    <w:panose1 w:val="02010609060101010101"/>
    <w:charset w:val="86"/>
    <w:family w:val="auto"/>
    <w:pitch w:val="default"/>
    <w:sig w:usb0="00000001" w:usb1="02000000" w:usb2="00000000" w:usb3="00000000" w:csb0="00040001" w:csb1="00000000"/>
  </w:font>
  <w:font w:name="仿宋_GB2312">
    <w:altName w:val="微软雅黑"/>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D297A">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EF9A">
                          <w:pPr>
                            <w:pStyle w:val="2"/>
                          </w:pPr>
                          <w:r>
                            <w:t xml:space="preserve">— </w:t>
                          </w:r>
                          <w:r>
                            <w:rPr>
                              <w:rFonts w:ascii="Times New Roman" w:hAnsi="Times New Roman" w:cs="Times New Roman"/>
                              <w:color w:val="000000"/>
                              <w:sz w:val="22"/>
                              <w:szCs w:val="36"/>
                            </w:rPr>
                            <w:fldChar w:fldCharType="begin"/>
                          </w:r>
                          <w:r>
                            <w:rPr>
                              <w:rFonts w:ascii="Times New Roman" w:hAnsi="Times New Roman" w:cs="Times New Roman"/>
                              <w:color w:val="000000"/>
                              <w:sz w:val="22"/>
                              <w:szCs w:val="36"/>
                            </w:rPr>
                            <w:instrText xml:space="preserve"> PAGE  \* MERGEFORMAT </w:instrText>
                          </w:r>
                          <w:r>
                            <w:rPr>
                              <w:rFonts w:ascii="Times New Roman" w:hAnsi="Times New Roman" w:cs="Times New Roman"/>
                              <w:color w:val="000000"/>
                              <w:sz w:val="22"/>
                              <w:szCs w:val="36"/>
                            </w:rPr>
                            <w:fldChar w:fldCharType="separate"/>
                          </w:r>
                          <w:r>
                            <w:rPr>
                              <w:rFonts w:ascii="Times New Roman" w:hAnsi="Times New Roman" w:cs="Times New Roman"/>
                              <w:color w:val="000000"/>
                              <w:sz w:val="22"/>
                              <w:szCs w:val="36"/>
                            </w:rPr>
                            <w:t>1</w:t>
                          </w:r>
                          <w:r>
                            <w:rPr>
                              <w:rFonts w:ascii="Times New Roman" w:hAnsi="Times New Roman" w:cs="Times New Roman"/>
                              <w:color w:val="000000"/>
                              <w:sz w:val="22"/>
                              <w:szCs w:val="36"/>
                            </w:rPr>
                            <w:fldChar w:fldCharType="end"/>
                          </w:r>
                          <w:r>
                            <w:rPr>
                              <w:rFonts w:ascii="Times New Roman" w:hAnsi="Times New Roman" w:cs="Times New Roman"/>
                              <w:color w:val="000000"/>
                              <w:sz w:val="22"/>
                              <w:szCs w:val="36"/>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7EF9A">
                    <w:pPr>
                      <w:pStyle w:val="2"/>
                    </w:pPr>
                    <w:r>
                      <w:t xml:space="preserve">— </w:t>
                    </w:r>
                    <w:r>
                      <w:rPr>
                        <w:rFonts w:ascii="Times New Roman" w:hAnsi="Times New Roman" w:cs="Times New Roman"/>
                        <w:color w:val="000000"/>
                        <w:sz w:val="22"/>
                        <w:szCs w:val="36"/>
                      </w:rPr>
                      <w:fldChar w:fldCharType="begin"/>
                    </w:r>
                    <w:r>
                      <w:rPr>
                        <w:rFonts w:ascii="Times New Roman" w:hAnsi="Times New Roman" w:cs="Times New Roman"/>
                        <w:color w:val="000000"/>
                        <w:sz w:val="22"/>
                        <w:szCs w:val="36"/>
                      </w:rPr>
                      <w:instrText xml:space="preserve"> PAGE  \* MERGEFORMAT </w:instrText>
                    </w:r>
                    <w:r>
                      <w:rPr>
                        <w:rFonts w:ascii="Times New Roman" w:hAnsi="Times New Roman" w:cs="Times New Roman"/>
                        <w:color w:val="000000"/>
                        <w:sz w:val="22"/>
                        <w:szCs w:val="36"/>
                      </w:rPr>
                      <w:fldChar w:fldCharType="separate"/>
                    </w:r>
                    <w:r>
                      <w:rPr>
                        <w:rFonts w:ascii="Times New Roman" w:hAnsi="Times New Roman" w:cs="Times New Roman"/>
                        <w:color w:val="000000"/>
                        <w:sz w:val="22"/>
                        <w:szCs w:val="36"/>
                      </w:rPr>
                      <w:t>1</w:t>
                    </w:r>
                    <w:r>
                      <w:rPr>
                        <w:rFonts w:ascii="Times New Roman" w:hAnsi="Times New Roman" w:cs="Times New Roman"/>
                        <w:color w:val="000000"/>
                        <w:sz w:val="22"/>
                        <w:szCs w:val="36"/>
                      </w:rPr>
                      <w:fldChar w:fldCharType="end"/>
                    </w:r>
                    <w:r>
                      <w:rPr>
                        <w:rFonts w:ascii="Times New Roman" w:hAnsi="Times New Roman" w:cs="Times New Roman"/>
                        <w:color w:val="000000"/>
                        <w:sz w:val="22"/>
                        <w:szCs w:val="36"/>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64AA5"/>
    <w:rsid w:val="00004134"/>
    <w:rsid w:val="00232AD0"/>
    <w:rsid w:val="00237E05"/>
    <w:rsid w:val="00354C79"/>
    <w:rsid w:val="008006DF"/>
    <w:rsid w:val="00813ED0"/>
    <w:rsid w:val="00977DC0"/>
    <w:rsid w:val="00C50BEC"/>
    <w:rsid w:val="00CA6045"/>
    <w:rsid w:val="00E67EA8"/>
    <w:rsid w:val="02162329"/>
    <w:rsid w:val="033A2E12"/>
    <w:rsid w:val="04480B23"/>
    <w:rsid w:val="061E65E2"/>
    <w:rsid w:val="073254E6"/>
    <w:rsid w:val="08BC6D87"/>
    <w:rsid w:val="09B5725D"/>
    <w:rsid w:val="0D8B5BB8"/>
    <w:rsid w:val="0F121250"/>
    <w:rsid w:val="17BE19D3"/>
    <w:rsid w:val="1F9063EC"/>
    <w:rsid w:val="233D7BE1"/>
    <w:rsid w:val="246E6E8E"/>
    <w:rsid w:val="29C51C4D"/>
    <w:rsid w:val="2C281876"/>
    <w:rsid w:val="2DF91651"/>
    <w:rsid w:val="2E4E2862"/>
    <w:rsid w:val="308A1BE9"/>
    <w:rsid w:val="309C4B4F"/>
    <w:rsid w:val="337F42B4"/>
    <w:rsid w:val="37511F24"/>
    <w:rsid w:val="378A26BF"/>
    <w:rsid w:val="3826344E"/>
    <w:rsid w:val="38BD532C"/>
    <w:rsid w:val="38E54CC0"/>
    <w:rsid w:val="3AE9700F"/>
    <w:rsid w:val="41020B4C"/>
    <w:rsid w:val="428216CB"/>
    <w:rsid w:val="44750E56"/>
    <w:rsid w:val="4FE05704"/>
    <w:rsid w:val="51B14DF3"/>
    <w:rsid w:val="525C3CE7"/>
    <w:rsid w:val="53C64AA5"/>
    <w:rsid w:val="54951661"/>
    <w:rsid w:val="59471C07"/>
    <w:rsid w:val="5C846A0F"/>
    <w:rsid w:val="5DCD5A99"/>
    <w:rsid w:val="66C75367"/>
    <w:rsid w:val="6B7ED00E"/>
    <w:rsid w:val="6FDB4045"/>
    <w:rsid w:val="71E13469"/>
    <w:rsid w:val="72FFAA77"/>
    <w:rsid w:val="7C6E2A7F"/>
    <w:rsid w:val="7E584AB3"/>
    <w:rsid w:val="CFFA68D4"/>
    <w:rsid w:val="FBF53441"/>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1312</Words>
  <Characters>1314</Characters>
  <Lines>16</Lines>
  <Paragraphs>4</Paragraphs>
  <TotalTime>0</TotalTime>
  <ScaleCrop>false</ScaleCrop>
  <LinksUpToDate>false</LinksUpToDate>
  <CharactersWithSpaces>1315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2025-02-20T03:38:00Z</dcterms:created>
  <dc:creator>一直在路上</dc:creator>
  <cp:lastModifiedBy>Administrator</cp:lastModifiedBy>
  <cp:lastPrinted>2025-02-28T08:37:00Z</cp:lastPrinted>
  <dcterms:modified xsi:type="dcterms:W3CDTF">2025-02-28T09:04:45Z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B2B30D262CDE4FD2903EE98309A68F73_13</vt:lpwstr>
  </property>
  <property fmtid="{D5CDD505-2E9C-101B-9397-08002B2CF9AE}" pid="4" name="KSOTemplateDocerSaveRecord">
    <vt:lpwstr>eyJoZGlkIjoiNGFiNjM4ZjU5YzU4ZGY3N2NjYzUxM2VkMDY0MDJmOTgiLCJ1c2VySWQiOiIyNzM5NTY1OTIifQ==</vt:lpwstr>
  </property>
</Properties>
</file>