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FBB6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ascii="仿宋_GB2312" w:hAnsi="宋体" w:eastAsia="仿宋_GB2312"/>
          <w:sz w:val="32"/>
          <w:szCs w:val="32"/>
        </w:rPr>
      </w:pPr>
    </w:p>
    <w:p w14:paraId="142A2D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sz w:val="32"/>
          <w:szCs w:val="32"/>
        </w:rPr>
      </w:pPr>
    </w:p>
    <w:p w14:paraId="44C74A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sz w:val="32"/>
          <w:szCs w:val="32"/>
        </w:rPr>
      </w:pPr>
    </w:p>
    <w:p w14:paraId="5545AE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right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曾水函〔202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sz w:val="32"/>
          <w:szCs w:val="32"/>
        </w:rPr>
        <w:t>〕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23</w:t>
      </w:r>
      <w:r>
        <w:rPr>
          <w:rFonts w:hint="eastAsia" w:ascii="仿宋" w:hAnsi="仿宋" w:eastAsia="仿宋"/>
          <w:sz w:val="32"/>
          <w:szCs w:val="32"/>
        </w:rPr>
        <w:t>号</w:t>
      </w:r>
    </w:p>
    <w:p w14:paraId="1467C1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ascii="方正小标宋简体" w:eastAsia="方正小标宋简体"/>
          <w:sz w:val="44"/>
          <w:szCs w:val="44"/>
        </w:rPr>
      </w:pPr>
    </w:p>
    <w:p w14:paraId="4A60F6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ascii="方正小标宋简体" w:hAnsi="黑体" w:eastAsia="方正小标宋简体" w:cs="黑体"/>
          <w:spacing w:val="0"/>
          <w:w w:val="100"/>
          <w:kern w:val="10"/>
          <w:sz w:val="44"/>
          <w:szCs w:val="44"/>
        </w:rPr>
      </w:pPr>
      <w:r>
        <w:rPr>
          <w:rFonts w:ascii="方正小标宋简体" w:hAnsi="黑体" w:eastAsia="方正小标宋简体" w:cs="黑体"/>
          <w:spacing w:val="0"/>
          <w:w w:val="100"/>
          <w:kern w:val="10"/>
          <w:sz w:val="44"/>
          <w:szCs w:val="44"/>
        </w:rPr>
        <w:t>随州市曾都区水利和湖泊局</w:t>
      </w:r>
    </w:p>
    <w:p w14:paraId="27A3B0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黑体" w:eastAsia="方正小标宋简体" w:cs="黑体"/>
          <w:spacing w:val="0"/>
          <w:w w:val="100"/>
          <w:kern w:val="10"/>
          <w:sz w:val="44"/>
          <w:szCs w:val="44"/>
          <w:lang w:val="en-US" w:eastAsia="zh-CN"/>
        </w:rPr>
      </w:pPr>
      <w:r>
        <w:rPr>
          <w:rFonts w:hint="eastAsia" w:ascii="方正小标宋简体" w:hAnsi="黑体" w:eastAsia="方正小标宋简体" w:cs="黑体"/>
          <w:spacing w:val="0"/>
          <w:w w:val="100"/>
          <w:kern w:val="10"/>
          <w:sz w:val="44"/>
          <w:szCs w:val="44"/>
          <w:lang w:val="en-US" w:eastAsia="zh-CN"/>
        </w:rPr>
        <w:t>关于随州市鹿鹤大道（太山路－青年路）</w:t>
      </w:r>
    </w:p>
    <w:p w14:paraId="3F085A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黑体" w:eastAsia="方正小标宋简体" w:cs="黑体"/>
          <w:spacing w:val="0"/>
          <w:w w:val="100"/>
          <w:kern w:val="10"/>
          <w:sz w:val="44"/>
          <w:szCs w:val="44"/>
          <w:lang w:val="en-US" w:eastAsia="zh-CN"/>
        </w:rPr>
      </w:pPr>
      <w:r>
        <w:rPr>
          <w:rFonts w:hint="eastAsia" w:ascii="方正小标宋简体" w:hAnsi="黑体" w:eastAsia="方正小标宋简体" w:cs="黑体"/>
          <w:spacing w:val="0"/>
          <w:w w:val="100"/>
          <w:kern w:val="10"/>
          <w:sz w:val="44"/>
          <w:szCs w:val="44"/>
          <w:lang w:val="en-US" w:eastAsia="zh-CN"/>
        </w:rPr>
        <w:t>建设项目跨花溪河桥洪水影响评价报告的批    复</w:t>
      </w:r>
    </w:p>
    <w:p w14:paraId="01902F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ascii="方正小标宋简体" w:hAnsi="黑体" w:eastAsia="方正小标宋简体" w:cs="黑体"/>
          <w:spacing w:val="0"/>
          <w:w w:val="100"/>
          <w:kern w:val="10"/>
          <w:sz w:val="44"/>
          <w:szCs w:val="44"/>
        </w:rPr>
      </w:pPr>
    </w:p>
    <w:p w14:paraId="161B5A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" w:hAnsi="仿宋" w:eastAsia="仿宋" w:cs="仿宋"/>
          <w:color w:val="auto"/>
          <w:spacing w:val="0"/>
          <w:w w:val="100"/>
          <w:kern w:val="10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pacing w:val="0"/>
          <w:w w:val="100"/>
          <w:kern w:val="10"/>
          <w:sz w:val="32"/>
          <w:szCs w:val="32"/>
        </w:rPr>
        <w:t>随州市曾都鸿发产业投资有限公司：</w:t>
      </w:r>
    </w:p>
    <w:p w14:paraId="30D1E9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你单位报送的《随州市鹿鹤大道（太山路－青年路）建设项目跨花溪河桥洪水影响评价报告》（以下简称《洪评报告》）及申请已收悉，根据《中华人民共和国水法》《中华人民共和国防洪法》等相关法律规定，经组织专家审查，现批复如下：</w:t>
      </w:r>
    </w:p>
    <w:p w14:paraId="0BA68D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一、工程项目概况</w:t>
      </w:r>
    </w:p>
    <w:p w14:paraId="0464F3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随州市鹿鹤大道（太山路－青年路）建设项目道路路线北起曾都区北郊街道太山路，南至东城街道青年路，全长5200米，其中：太山路至星光一路长762米，红线宽30米，星光一路至青年路长4438米，红线宽40米。</w:t>
      </w:r>
    </w:p>
    <w:p w14:paraId="2A4BE5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鹿鹤大道（太山路－青年路）建设项目跨花溪河桥位于</w:t>
      </w:r>
    </w:p>
    <w:p w14:paraId="14FA49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曾都区北郊街道七里塘村，属于新建项目，桥址以上流域面积11.31平方公里，流域长度7.31公里。该桥总长113米，属于大桥。上部结构采用3×35米跨装配式预应力混凝土小箱梁，正交，桥面宽34.5米。下部结构采用打桩U台，桥台采用双排桩基础，桩径1.0米；盖梁横桥向长33.1米，顺桥向长2.0米，高1.6米；桥墩采用直径1.5米圆柱墩，下接直径1.8米桩基础，采用单排桩基础。</w:t>
      </w:r>
    </w:p>
    <w:p w14:paraId="57A6AD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二、洪水评价分析和计算成果</w:t>
      </w:r>
    </w:p>
    <w:p w14:paraId="311A3B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基本同意《评价报告》中桥梁防洪标准为100年一遇，设计洪峰流量为325立方米每秒，设计洪水位75.59米；桥梁所在河段防洪标准20年一遇，设计洪峰流量为210立方米每秒，设计洪水位75.20米。</w:t>
      </w:r>
    </w:p>
    <w:p w14:paraId="30F4DC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三、洪水影响综合评价</w:t>
      </w:r>
    </w:p>
    <w:p w14:paraId="683A7D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1.基本同意《评价报告》工程建成后对河道行洪安全、河势稳定影响较小的评价结论。</w:t>
      </w:r>
    </w:p>
    <w:p w14:paraId="7B36D5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2.基本同意《评价报告》对该项目防汛抢险、施工期防洪影响、第三方水事合法权益影响评价的结论，工程建成后不利影响较小。</w:t>
      </w:r>
    </w:p>
    <w:p w14:paraId="4DB464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四、工程影响防治与补救措施</w:t>
      </w:r>
    </w:p>
    <w:p w14:paraId="5C35B5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1.对桥梁左右岸、上下游河岸进行加固防护，对桥墩以及桥梁与两岸路基衔接处进行防冲加固处理。</w:t>
      </w:r>
    </w:p>
    <w:p w14:paraId="1A3223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2.桥梁完工后，应及时拆除施工临时设施等阻水建筑物，清除施工弃土弃渣等建筑垃圾，恢复河道原貌。</w:t>
      </w:r>
    </w:p>
    <w:p w14:paraId="6B76F1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3.桥墩施工宜选在枯水季，尽量避免在主汛期进行。建设单位在汛期施工，应编制《施工度汛方案和防汛抢险应急预案》，报区防汛指挥机构审批。</w:t>
      </w:r>
    </w:p>
    <w:p w14:paraId="1AF60D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五、项目监督管理</w:t>
      </w:r>
    </w:p>
    <w:p w14:paraId="5FEFA8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1.该项目建设过程中有重大变更的，应按照规定重新办理行政审批相关手续。</w:t>
      </w:r>
    </w:p>
    <w:p w14:paraId="1174CF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2.桥梁施工应在河道管理单位的全程监督下进行，服从防汛指挥机构的统一指挥。施工过程中要注意保护两岸堤防，严禁向河道弃土弃渣，要保证汛期河道畅通。</w:t>
      </w:r>
    </w:p>
    <w:p w14:paraId="10C7A6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3.因工程建设影响第三人合法水事权益的，由建设单位妥善解决。</w:t>
      </w:r>
    </w:p>
    <w:p w14:paraId="5A4B05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pacing w:val="0"/>
          <w:w w:val="100"/>
          <w:sz w:val="32"/>
          <w:szCs w:val="32"/>
          <w:lang w:val="en-US" w:eastAsia="zh-CN"/>
        </w:rPr>
      </w:pPr>
    </w:p>
    <w:p w14:paraId="53DDC236">
      <w:pPr>
        <w:pStyle w:val="2"/>
        <w:rPr>
          <w:rFonts w:hint="eastAsia"/>
          <w:lang w:val="en-US" w:eastAsia="zh-CN"/>
        </w:rPr>
      </w:pPr>
    </w:p>
    <w:p w14:paraId="1811D2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480" w:firstLineChars="1400"/>
        <w:jc w:val="both"/>
        <w:textAlignment w:val="auto"/>
        <w:rPr>
          <w:rFonts w:hint="eastAsia" w:ascii="仿宋" w:hAnsi="仿宋" w:eastAsia="仿宋" w:cs="仿宋"/>
          <w:color w:val="auto"/>
          <w:spacing w:val="0"/>
          <w:w w:val="100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pacing w:val="0"/>
          <w:w w:val="100"/>
          <w:sz w:val="32"/>
          <w:szCs w:val="32"/>
        </w:rPr>
        <w:t>202</w:t>
      </w:r>
      <w:r>
        <w:rPr>
          <w:rFonts w:hint="eastAsia" w:ascii="仿宋" w:hAnsi="仿宋" w:eastAsia="仿宋" w:cs="仿宋"/>
          <w:color w:val="auto"/>
          <w:spacing w:val="0"/>
          <w:w w:val="10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color w:val="auto"/>
          <w:spacing w:val="0"/>
          <w:w w:val="100"/>
          <w:sz w:val="32"/>
          <w:szCs w:val="32"/>
        </w:rPr>
        <w:t>年</w:t>
      </w:r>
      <w:r>
        <w:rPr>
          <w:rFonts w:hint="eastAsia" w:ascii="仿宋" w:hAnsi="仿宋" w:eastAsia="仿宋" w:cs="仿宋"/>
          <w:color w:val="auto"/>
          <w:spacing w:val="0"/>
          <w:w w:val="100"/>
          <w:sz w:val="32"/>
          <w:szCs w:val="32"/>
          <w:lang w:val="en-US" w:eastAsia="zh-CN"/>
        </w:rPr>
        <w:t>12</w:t>
      </w:r>
      <w:r>
        <w:rPr>
          <w:rFonts w:hint="eastAsia" w:ascii="仿宋" w:hAnsi="仿宋" w:eastAsia="仿宋" w:cs="仿宋"/>
          <w:color w:val="auto"/>
          <w:spacing w:val="0"/>
          <w:w w:val="100"/>
          <w:sz w:val="32"/>
          <w:szCs w:val="32"/>
        </w:rPr>
        <w:t>月</w:t>
      </w:r>
      <w:r>
        <w:rPr>
          <w:rFonts w:hint="eastAsia" w:ascii="仿宋" w:hAnsi="仿宋" w:eastAsia="仿宋" w:cs="仿宋"/>
          <w:color w:val="auto"/>
          <w:spacing w:val="0"/>
          <w:w w:val="100"/>
          <w:sz w:val="32"/>
          <w:szCs w:val="32"/>
          <w:lang w:val="en-US" w:eastAsia="zh-CN"/>
        </w:rPr>
        <w:t>16</w:t>
      </w:r>
      <w:r>
        <w:rPr>
          <w:rFonts w:hint="eastAsia" w:ascii="仿宋" w:hAnsi="仿宋" w:eastAsia="仿宋" w:cs="仿宋"/>
          <w:color w:val="auto"/>
          <w:spacing w:val="0"/>
          <w:w w:val="100"/>
          <w:sz w:val="32"/>
          <w:szCs w:val="32"/>
        </w:rPr>
        <w:t>日</w:t>
      </w:r>
    </w:p>
    <w:p w14:paraId="312B5C9F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textAlignment w:val="auto"/>
        <w:rPr>
          <w:color w:val="auto"/>
        </w:rPr>
      </w:pPr>
    </w:p>
    <w:p w14:paraId="1229236E">
      <w:pPr>
        <w:pStyle w:val="11"/>
        <w:ind w:left="0" w:leftChars="0" w:firstLine="0" w:firstLineChars="0"/>
      </w:pPr>
    </w:p>
    <w:p w14:paraId="36E95179"/>
    <w:p w14:paraId="4B50C0F3">
      <w:pPr>
        <w:pStyle w:val="2"/>
      </w:pPr>
    </w:p>
    <w:p w14:paraId="3976E510"/>
    <w:p w14:paraId="15C4A2A6">
      <w:pPr>
        <w:pStyle w:val="2"/>
      </w:pPr>
    </w:p>
    <w:p w14:paraId="1F43DB63"/>
    <w:p w14:paraId="5E55D847">
      <w:pPr>
        <w:pStyle w:val="2"/>
      </w:pPr>
    </w:p>
    <w:p w14:paraId="33F6BF3C"/>
    <w:p w14:paraId="473C32A7">
      <w:pPr>
        <w:pStyle w:val="2"/>
      </w:pPr>
    </w:p>
    <w:p w14:paraId="4B849FC2"/>
    <w:p w14:paraId="50906C6C">
      <w:pPr>
        <w:pStyle w:val="2"/>
        <w:sectPr>
          <w:footerReference r:id="rId3" w:type="default"/>
          <w:pgSz w:w="11906" w:h="16838"/>
          <w:pgMar w:top="1440" w:right="1800" w:bottom="1440" w:left="1800" w:header="851" w:footer="992" w:gutter="0"/>
          <w:pgNumType w:fmt="decimal" w:start="2"/>
          <w:cols w:space="425" w:num="1"/>
          <w:docGrid w:type="lines" w:linePitch="312" w:charSpace="0"/>
        </w:sectPr>
      </w:pPr>
    </w:p>
    <w:p w14:paraId="32503832"/>
    <w:p w14:paraId="13A0B6E8"/>
    <w:p w14:paraId="3EA74BA3">
      <w:pPr>
        <w:pStyle w:val="2"/>
      </w:pPr>
    </w:p>
    <w:p w14:paraId="3A466E54"/>
    <w:p w14:paraId="63C1E3FD">
      <w:pPr>
        <w:pStyle w:val="2"/>
      </w:pPr>
    </w:p>
    <w:p w14:paraId="2630C456"/>
    <w:p w14:paraId="22C04303">
      <w:pPr>
        <w:pStyle w:val="2"/>
      </w:pPr>
    </w:p>
    <w:p w14:paraId="6270AD56"/>
    <w:p w14:paraId="4D51E577">
      <w:pPr>
        <w:pStyle w:val="2"/>
      </w:pPr>
    </w:p>
    <w:p w14:paraId="5BEFB45B"/>
    <w:p w14:paraId="34441448">
      <w:pPr>
        <w:pStyle w:val="2"/>
      </w:pPr>
    </w:p>
    <w:p w14:paraId="43001D3C"/>
    <w:p w14:paraId="7B43EF47">
      <w:pPr>
        <w:pStyle w:val="2"/>
      </w:pPr>
    </w:p>
    <w:p w14:paraId="78787300"/>
    <w:p w14:paraId="3437D464">
      <w:pPr>
        <w:pStyle w:val="2"/>
      </w:pPr>
    </w:p>
    <w:p w14:paraId="4C652B42"/>
    <w:p w14:paraId="0D7318E6">
      <w:pPr>
        <w:pStyle w:val="2"/>
      </w:pPr>
    </w:p>
    <w:p w14:paraId="65492CDC"/>
    <w:p w14:paraId="16D8EC40">
      <w:pPr>
        <w:pStyle w:val="2"/>
      </w:pPr>
    </w:p>
    <w:p w14:paraId="73DA07D9"/>
    <w:p w14:paraId="672C72F9">
      <w:pPr>
        <w:pStyle w:val="2"/>
      </w:pPr>
    </w:p>
    <w:p w14:paraId="55226709"/>
    <w:p w14:paraId="603EBC5D">
      <w:pPr>
        <w:pStyle w:val="2"/>
      </w:pPr>
    </w:p>
    <w:p w14:paraId="383DD0BA"/>
    <w:p w14:paraId="707EB47C">
      <w:pPr>
        <w:pStyle w:val="2"/>
      </w:pPr>
    </w:p>
    <w:p w14:paraId="50C92095"/>
    <w:p w14:paraId="5703CD49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900" w:lineRule="exact"/>
        <w:textAlignment w:val="auto"/>
      </w:pPr>
    </w:p>
    <w:p w14:paraId="0788B0A4">
      <w:pPr>
        <w:keepNext w:val="0"/>
        <w:keepLines w:val="0"/>
        <w:pageBreakBefore w:val="0"/>
        <w:widowControl w:val="0"/>
        <w:pBdr>
          <w:top w:val="single" w:color="auto" w:sz="6" w:space="0"/>
          <w:bottom w:val="single" w:color="auto" w:sz="6" w:space="1"/>
        </w:pBdr>
        <w:tabs>
          <w:tab w:val="left" w:pos="1800"/>
          <w:tab w:val="left" w:pos="19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280" w:firstLineChars="100"/>
        <w:textAlignment w:val="auto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随州市曾都区水利和湖泊局办公室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 xml:space="preserve">     </w:t>
      </w:r>
      <w:r>
        <w:rPr>
          <w:rFonts w:hint="eastAsia" w:ascii="仿宋" w:hAnsi="仿宋" w:eastAsia="仿宋"/>
          <w:sz w:val="28"/>
          <w:szCs w:val="28"/>
        </w:rPr>
        <w:t>20</w:t>
      </w:r>
      <w:r>
        <w:rPr>
          <w:rFonts w:ascii="仿宋" w:hAnsi="仿宋" w:eastAsia="仿宋"/>
          <w:sz w:val="28"/>
          <w:szCs w:val="28"/>
        </w:rPr>
        <w:t>2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5</w:t>
      </w:r>
      <w:r>
        <w:rPr>
          <w:rFonts w:hint="eastAsia" w:ascii="仿宋" w:hAnsi="仿宋" w:eastAsia="仿宋"/>
          <w:sz w:val="28"/>
          <w:szCs w:val="28"/>
        </w:rPr>
        <w:t>年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12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16</w:t>
      </w:r>
      <w:r>
        <w:rPr>
          <w:rFonts w:hint="eastAsia" w:ascii="仿宋" w:hAnsi="仿宋" w:eastAsia="仿宋"/>
          <w:sz w:val="28"/>
          <w:szCs w:val="28"/>
        </w:rPr>
        <w:t>日印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发</w:t>
      </w:r>
    </w:p>
    <w:sectPr>
      <w:footerReference r:id="rId4" w:type="default"/>
      <w:pgSz w:w="11906" w:h="16838"/>
      <w:pgMar w:top="1440" w:right="1800" w:bottom="1440" w:left="1800" w:header="851" w:footer="992" w:gutter="0"/>
      <w:pgNumType w:fmt="decimal" w:start="2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13BDC86-C116-4EC5-A788-62478561BF3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C337C566-DFC2-407A-994C-CBA434C29CEC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E18C4983-FE48-44E2-87C1-3FA5F1D80DBF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AD20966D-543B-43B4-A73B-F8E6262E3DB4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5" w:fontKey="{C7A41237-A927-4F15-9C46-B23D23F7A75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F56D05">
    <w:pPr>
      <w:pStyle w:val="9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4986F2">
                          <w:pPr>
                            <w:pStyle w:val="9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F4986F2">
                    <w:pPr>
                      <w:pStyle w:val="9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C90EC4">
    <w:pPr>
      <w:pStyle w:val="9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M1YTIxYjU5MzhiYzdjMzZjYjdhOTQxZDVjNWYzN2EifQ=="/>
  </w:docVars>
  <w:rsids>
    <w:rsidRoot w:val="00F90717"/>
    <w:rsid w:val="00162A52"/>
    <w:rsid w:val="0017241C"/>
    <w:rsid w:val="001962CC"/>
    <w:rsid w:val="00286921"/>
    <w:rsid w:val="0042289C"/>
    <w:rsid w:val="005F35EC"/>
    <w:rsid w:val="0061088F"/>
    <w:rsid w:val="008D111C"/>
    <w:rsid w:val="00942F15"/>
    <w:rsid w:val="00B02E7A"/>
    <w:rsid w:val="00B658F3"/>
    <w:rsid w:val="00B86C58"/>
    <w:rsid w:val="00BD3C88"/>
    <w:rsid w:val="00C24AB7"/>
    <w:rsid w:val="00D900F2"/>
    <w:rsid w:val="00DA64C6"/>
    <w:rsid w:val="00DF077F"/>
    <w:rsid w:val="00E2662A"/>
    <w:rsid w:val="00F34B37"/>
    <w:rsid w:val="00F90717"/>
    <w:rsid w:val="04352076"/>
    <w:rsid w:val="04D72BD5"/>
    <w:rsid w:val="08D45D89"/>
    <w:rsid w:val="0A4F57C0"/>
    <w:rsid w:val="0B1316BA"/>
    <w:rsid w:val="0B737AD1"/>
    <w:rsid w:val="0E44713D"/>
    <w:rsid w:val="0F1A3753"/>
    <w:rsid w:val="160475A2"/>
    <w:rsid w:val="189B48BF"/>
    <w:rsid w:val="1BE069CA"/>
    <w:rsid w:val="1D6F4D74"/>
    <w:rsid w:val="1D7F6978"/>
    <w:rsid w:val="22AF59F3"/>
    <w:rsid w:val="25AB4F81"/>
    <w:rsid w:val="2826784C"/>
    <w:rsid w:val="28B60BD0"/>
    <w:rsid w:val="29E71BFB"/>
    <w:rsid w:val="2B245EB9"/>
    <w:rsid w:val="2BD4694A"/>
    <w:rsid w:val="2D8656FF"/>
    <w:rsid w:val="31B22151"/>
    <w:rsid w:val="34E16FD5"/>
    <w:rsid w:val="36307922"/>
    <w:rsid w:val="366F14EB"/>
    <w:rsid w:val="37103EE5"/>
    <w:rsid w:val="3B341131"/>
    <w:rsid w:val="3FC5146B"/>
    <w:rsid w:val="40C12E5A"/>
    <w:rsid w:val="43220826"/>
    <w:rsid w:val="43407B62"/>
    <w:rsid w:val="465B2048"/>
    <w:rsid w:val="46E3355B"/>
    <w:rsid w:val="475B669D"/>
    <w:rsid w:val="485576F0"/>
    <w:rsid w:val="492B471A"/>
    <w:rsid w:val="49307A05"/>
    <w:rsid w:val="496D2C05"/>
    <w:rsid w:val="49A8693D"/>
    <w:rsid w:val="4A5F46BA"/>
    <w:rsid w:val="4ACA50C0"/>
    <w:rsid w:val="4B28487E"/>
    <w:rsid w:val="510164F4"/>
    <w:rsid w:val="5325232B"/>
    <w:rsid w:val="56AB1F34"/>
    <w:rsid w:val="597A2012"/>
    <w:rsid w:val="59F441E9"/>
    <w:rsid w:val="5B920779"/>
    <w:rsid w:val="5BDD305A"/>
    <w:rsid w:val="5D1A0BEE"/>
    <w:rsid w:val="5E7D2194"/>
    <w:rsid w:val="5F9250A3"/>
    <w:rsid w:val="5FA323DD"/>
    <w:rsid w:val="66383744"/>
    <w:rsid w:val="672B61CF"/>
    <w:rsid w:val="68595D1F"/>
    <w:rsid w:val="695E04AE"/>
    <w:rsid w:val="69B226F6"/>
    <w:rsid w:val="6B3F5380"/>
    <w:rsid w:val="6DEF2517"/>
    <w:rsid w:val="6F0D77B6"/>
    <w:rsid w:val="71AE4F9C"/>
    <w:rsid w:val="720E0E98"/>
    <w:rsid w:val="755D611A"/>
    <w:rsid w:val="7A622507"/>
    <w:rsid w:val="7AB07D30"/>
    <w:rsid w:val="7B716095"/>
    <w:rsid w:val="7CF60710"/>
    <w:rsid w:val="7D220208"/>
    <w:rsid w:val="7D4165A6"/>
    <w:rsid w:val="7DF847BA"/>
    <w:rsid w:val="7FF76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99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1"/>
    <w:next w:val="1"/>
    <w:qFormat/>
    <w:uiPriority w:val="0"/>
    <w:pPr>
      <w:keepNext/>
      <w:keepLines/>
      <w:spacing w:line="480" w:lineRule="auto"/>
      <w:outlineLvl w:val="1"/>
    </w:pPr>
    <w:rPr>
      <w:rFonts w:eastAsia="黑体"/>
      <w:bCs/>
      <w:sz w:val="32"/>
      <w:szCs w:val="32"/>
    </w:rPr>
  </w:style>
  <w:style w:type="character" w:default="1" w:styleId="13">
    <w:name w:val="Default Paragraph Font"/>
    <w:autoRedefine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 w:firstLineChars="200"/>
    </w:pPr>
    <w:rPr>
      <w:sz w:val="24"/>
      <w:szCs w:val="20"/>
    </w:rPr>
  </w:style>
  <w:style w:type="paragraph" w:styleId="5">
    <w:name w:val="Body Text"/>
    <w:basedOn w:val="1"/>
    <w:qFormat/>
    <w:uiPriority w:val="1"/>
    <w:rPr>
      <w:rFonts w:ascii="仿宋" w:hAnsi="仿宋" w:eastAsia="仿宋" w:cs="仿宋"/>
      <w:b/>
      <w:bCs/>
      <w:sz w:val="28"/>
      <w:szCs w:val="28"/>
    </w:rPr>
  </w:style>
  <w:style w:type="paragraph" w:styleId="6">
    <w:name w:val="Body Text Indent"/>
    <w:basedOn w:val="1"/>
    <w:qFormat/>
    <w:uiPriority w:val="0"/>
    <w:pPr>
      <w:spacing w:after="120"/>
      <w:ind w:left="420" w:leftChars="200"/>
    </w:pPr>
  </w:style>
  <w:style w:type="paragraph" w:styleId="7">
    <w:name w:val="Date"/>
    <w:basedOn w:val="1"/>
    <w:next w:val="1"/>
    <w:link w:val="14"/>
    <w:qFormat/>
    <w:uiPriority w:val="0"/>
    <w:pPr>
      <w:ind w:left="100" w:leftChars="2500"/>
    </w:pPr>
  </w:style>
  <w:style w:type="paragraph" w:styleId="8">
    <w:name w:val="Balloon Text"/>
    <w:basedOn w:val="1"/>
    <w:link w:val="17"/>
    <w:qFormat/>
    <w:uiPriority w:val="0"/>
    <w:rPr>
      <w:sz w:val="18"/>
      <w:szCs w:val="18"/>
    </w:rPr>
  </w:style>
  <w:style w:type="paragraph" w:styleId="9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Body Text First Indent 2"/>
    <w:basedOn w:val="6"/>
    <w:next w:val="1"/>
    <w:semiHidden/>
    <w:qFormat/>
    <w:uiPriority w:val="99"/>
    <w:pPr>
      <w:tabs>
        <w:tab w:val="left" w:pos="180"/>
        <w:tab w:val="left" w:pos="840"/>
        <w:tab w:val="right" w:pos="8820"/>
      </w:tabs>
      <w:spacing w:after="0"/>
      <w:ind w:left="0" w:leftChars="0" w:firstLine="521" w:firstLineChars="175"/>
    </w:pPr>
    <w:rPr>
      <w:rFonts w:ascii="仿宋_GB2312" w:hAnsi="宋体" w:eastAsia="仿宋_GB2312"/>
      <w:sz w:val="28"/>
    </w:rPr>
  </w:style>
  <w:style w:type="character" w:customStyle="1" w:styleId="14">
    <w:name w:val="日期 Char"/>
    <w:basedOn w:val="13"/>
    <w:link w:val="7"/>
    <w:qFormat/>
    <w:uiPriority w:val="0"/>
    <w:rPr>
      <w:kern w:val="2"/>
      <w:sz w:val="21"/>
      <w:szCs w:val="24"/>
    </w:rPr>
  </w:style>
  <w:style w:type="character" w:customStyle="1" w:styleId="15">
    <w:name w:val="页眉 Char"/>
    <w:basedOn w:val="13"/>
    <w:link w:val="10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3"/>
    <w:link w:val="9"/>
    <w:qFormat/>
    <w:uiPriority w:val="0"/>
    <w:rPr>
      <w:kern w:val="2"/>
      <w:sz w:val="18"/>
      <w:szCs w:val="18"/>
    </w:rPr>
  </w:style>
  <w:style w:type="character" w:customStyle="1" w:styleId="17">
    <w:name w:val="批注框文本 Char"/>
    <w:basedOn w:val="13"/>
    <w:link w:val="8"/>
    <w:qFormat/>
    <w:uiPriority w:val="0"/>
    <w:rPr>
      <w:kern w:val="2"/>
      <w:sz w:val="18"/>
      <w:szCs w:val="18"/>
    </w:rPr>
  </w:style>
  <w:style w:type="paragraph" w:customStyle="1" w:styleId="18">
    <w:name w:val="报告正文"/>
    <w:basedOn w:val="1"/>
    <w:qFormat/>
    <w:uiPriority w:val="0"/>
    <w:pPr>
      <w:spacing w:line="490" w:lineRule="exact"/>
    </w:pPr>
    <w:rPr>
      <w:rFonts w:eastAsia="宋体"/>
    </w:rPr>
  </w:style>
  <w:style w:type="paragraph" w:styleId="19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20">
    <w:name w:val="NormalCharacter"/>
    <w:semiHidden/>
    <w:qFormat/>
    <w:uiPriority w:val="0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21">
    <w:name w:val="NormalCharacter1"/>
    <w:semiHidden/>
    <w:qFormat/>
    <w:uiPriority w:val="0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14f53144-1c9b-43a8-bf86-9ced083cb477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3F085A67</paraID>
      <start>9</start>
      <end>10</end>
      <status>modified</status>
      <modifiedWord>（</modifiedWord>
      <trackRevisions>false</trackRevisions>
    </reviewItem>
    <reviewItem>
      <errorID>f12bce79-847f-4252-a15a-1f256c8356fc</errorID>
      <errorWord>-</errorWord>
      <group>L1_Format</group>
      <groupName>格式问题</groupName>
      <ability>L2_HalfPunc</ability>
      <abilityName>全半角检查</abilityName>
      <candidateList>
        <item>－</item>
      </candidateList>
      <explain>文本全半角错误。</explain>
      <paraID>3F085A67</paraID>
      <start>13</start>
      <end>14</end>
      <status>modified</status>
      <modifiedWord>－</modifiedWord>
      <trackRevisions>false</trackRevisions>
    </reviewItem>
    <reviewItem>
      <errorID>ce39bd0c-05ce-434e-b9d1-71cb8aea7339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3F085A67</paraID>
      <start>17</start>
      <end>18</end>
      <status>modified</status>
      <modifiedWord>）</modifiedWord>
      <trackRevisions>false</trackRevisions>
    </reviewItem>
    <reviewItem>
      <errorID>c775d837-805a-487c-9f29-804c788346e8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30D1E9C7</paraID>
      <start>14</start>
      <end>15</end>
      <status>modified</status>
      <modifiedWord>（</modifiedWord>
      <trackRevisions>false</trackRevisions>
    </reviewItem>
    <reviewItem>
      <errorID>d5f8b1a0-e894-438a-9ac6-2bc89593ad50</errorID>
      <errorWord>-</errorWord>
      <group>L1_Format</group>
      <groupName>格式问题</groupName>
      <ability>L2_HalfPunc</ability>
      <abilityName>全半角检查</abilityName>
      <candidateList>
        <item>－</item>
      </candidateList>
      <explain>文本全半角错误。</explain>
      <paraID>30D1E9C7</paraID>
      <start>18</start>
      <end>19</end>
      <status>modified</status>
      <modifiedWord>－</modifiedWord>
      <trackRevisions>false</trackRevisions>
    </reviewItem>
    <reviewItem>
      <errorID>7201b47d-9b65-43fa-95f9-06aae9fe1fdc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30D1E9C7</paraID>
      <start>22</start>
      <end>23</end>
      <status>modified</status>
      <modifiedWord>）</modifiedWord>
      <trackRevisions>false</trackRevisions>
    </reviewItem>
    <reviewItem>
      <errorID>28db2e5f-b085-4766-ad0a-22d6271e3780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 464F32C</paraID>
      <start>7</start>
      <end>8</end>
      <status>modified</status>
      <modifiedWord>（</modifiedWord>
      <trackRevisions>false</trackRevisions>
    </reviewItem>
    <reviewItem>
      <errorID>da200355-fa3e-406e-bea5-82d8e204a12f</errorID>
      <errorWord>-</errorWord>
      <group>L1_Format</group>
      <groupName>格式问题</groupName>
      <ability>L2_HalfPunc</ability>
      <abilityName>全半角检查</abilityName>
      <candidateList>
        <item>－</item>
      </candidateList>
      <explain>文本全半角错误。</explain>
      <paraID> 464F32C</paraID>
      <start>11</start>
      <end>12</end>
      <status>modified</status>
      <modifiedWord>－</modifiedWord>
      <trackRevisions>false</trackRevisions>
    </reviewItem>
    <reviewItem>
      <errorID>c29a5ce4-3e07-4f30-8ebf-f7def6dc1d04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 464F32C</paraID>
      <start>15</start>
      <end>16</end>
      <status>modified</status>
      <modifiedWord>）</modifiedWord>
      <trackRevisions>false</trackRevisions>
    </reviewItem>
    <reviewItem>
      <errorID>f842b46b-90f2-4c5a-bb07-1fb1b4a2fb19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14FA4919</paraID>
      <start>4</start>
      <end>5</end>
      <status>modified</status>
      <modifiedWord>（</modifiedWord>
      <trackRevisions>false</trackRevisions>
    </reviewItem>
    <reviewItem>
      <errorID>e0b95ad1-793b-4ab0-be98-a8b6a3f0bfb2</errorID>
      <errorWord>-</errorWord>
      <group>L1_Format</group>
      <groupName>格式问题</groupName>
      <ability>L2_HalfPunc</ability>
      <abilityName>全半角检查</abilityName>
      <candidateList>
        <item>－</item>
      </candidateList>
      <explain>文本全半角错误。</explain>
      <paraID>14FA4919</paraID>
      <start>8</start>
      <end>9</end>
      <status>modified</status>
      <modifiedWord>－</modifiedWord>
      <trackRevisions>false</trackRevisions>
    </reviewItem>
    <reviewItem>
      <errorID>a222a2e9-8942-4841-b480-f99c3d76f8a7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14FA4919</paraID>
      <start>12</start>
      <end>13</end>
      <status>modified</status>
      <modifiedWord>）</modifiedWord>
      <trackRevisions>false</trackRevisions>
    </reviewItem>
    <reviewItem>
      <errorID>28eb3678-8d33-4dfc-9fbd-1f7360d2467a</errorID>
      <errorWord>洪水</errorWord>
      <group>L1_AI</group>
      <groupName>深度校对</groupName>
      <ability>L2_AI_Title</ability>
      <abilityName>标题检查</abilityName>
      <candidateList>
        <item>三、洪水</item>
      </candidateList>
      <explain>标题顺序错误，请检查标题顺序是否合理。</explain>
      <paraID>30F4DC1F</paraID>
      <start>0</start>
      <end>4</end>
      <status>modified</status>
      <modifiedWord>三、洪水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5e29697-cbb5-40dc-9d82-de40f6ff1d9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1005</Words>
  <Characters>1078</Characters>
  <Lines>4</Lines>
  <Paragraphs>1</Paragraphs>
  <TotalTime>2</TotalTime>
  <ScaleCrop>false</ScaleCrop>
  <LinksUpToDate>false</LinksUpToDate>
  <CharactersWithSpaces>1087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2023-03-27T02:10:00Z</dcterms:created>
  <dc:creator>Administrator</dc:creator>
  <cp:lastModifiedBy>果真不打烊</cp:lastModifiedBy>
  <cp:lastPrinted>2025-06-03T07:53:00Z</cp:lastPrinted>
  <dcterms:modified xsi:type="dcterms:W3CDTF">2025-12-16T08:52:42Z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B28D8F15060E4C1CA91340A416E40876_13</vt:lpwstr>
  </property>
  <property fmtid="{D5CDD505-2E9C-101B-9397-08002B2CF9AE}" pid="4" name="KSOTemplateDocerSaveRecord">
    <vt:lpwstr>eyJoZGlkIjoiYWUwZmJlMDMyNTY5NjgxOGU0Y2M5MmQ0N2JhZGY3ZDMiLCJ1c2VySWQiOiI1MTA2NTI0MTcifQ==</vt:lpwstr>
  </property>
</Properties>
</file>