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CC0D7">
      <w:pPr>
        <w:keepNext w:val="0"/>
        <w:keepLines w:val="0"/>
        <w:pageBreakBefore w:val="0"/>
        <w:widowControl w:val="0"/>
        <w:kinsoku/>
        <w:wordWrap/>
        <w:overflowPunct/>
        <w:topLinePunct w:val="0"/>
        <w:autoSpaceDE/>
        <w:autoSpaceDN/>
        <w:bidi w:val="0"/>
        <w:adjustRightInd/>
        <w:snapToGrid/>
        <w:spacing w:line="640" w:lineRule="exact"/>
        <w:textAlignment w:val="auto"/>
        <w:rPr>
          <w:rFonts w:ascii="仿宋_GB2312" w:hAnsi="宋体" w:eastAsia="仿宋_GB2312"/>
          <w:sz w:val="32"/>
          <w:szCs w:val="32"/>
        </w:rPr>
      </w:pPr>
    </w:p>
    <w:p w14:paraId="585ECA9A">
      <w:pPr>
        <w:keepNext w:val="0"/>
        <w:keepLines w:val="0"/>
        <w:pageBreakBefore w:val="0"/>
        <w:widowControl w:val="0"/>
        <w:kinsoku/>
        <w:wordWrap/>
        <w:overflowPunct/>
        <w:topLinePunct w:val="0"/>
        <w:autoSpaceDE/>
        <w:autoSpaceDN/>
        <w:bidi w:val="0"/>
        <w:adjustRightInd/>
        <w:snapToGrid/>
        <w:spacing w:line="640" w:lineRule="exact"/>
        <w:textAlignment w:val="auto"/>
        <w:rPr>
          <w:sz w:val="32"/>
          <w:szCs w:val="32"/>
        </w:rPr>
      </w:pPr>
    </w:p>
    <w:p w14:paraId="478F4F42">
      <w:pPr>
        <w:keepNext w:val="0"/>
        <w:keepLines w:val="0"/>
        <w:pageBreakBefore w:val="0"/>
        <w:widowControl w:val="0"/>
        <w:kinsoku/>
        <w:wordWrap/>
        <w:overflowPunct/>
        <w:topLinePunct w:val="0"/>
        <w:autoSpaceDE/>
        <w:autoSpaceDN/>
        <w:bidi w:val="0"/>
        <w:adjustRightInd/>
        <w:snapToGrid/>
        <w:spacing w:line="640" w:lineRule="exact"/>
        <w:textAlignment w:val="auto"/>
        <w:rPr>
          <w:sz w:val="32"/>
          <w:szCs w:val="32"/>
        </w:rPr>
      </w:pPr>
    </w:p>
    <w:p w14:paraId="5FE08498">
      <w:pPr>
        <w:keepNext w:val="0"/>
        <w:keepLines w:val="0"/>
        <w:pageBreakBefore w:val="0"/>
        <w:widowControl w:val="0"/>
        <w:kinsoku/>
        <w:wordWrap/>
        <w:overflowPunct/>
        <w:topLinePunct w:val="0"/>
        <w:autoSpaceDE/>
        <w:autoSpaceDN/>
        <w:bidi w:val="0"/>
        <w:adjustRightInd/>
        <w:snapToGrid/>
        <w:spacing w:line="64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曾水</w:t>
      </w:r>
      <w:r>
        <w:rPr>
          <w:rFonts w:hint="eastAsia" w:ascii="仿宋_GB2312" w:hAnsi="仿宋_GB2312" w:eastAsia="仿宋_GB2312" w:cs="仿宋_GB2312"/>
          <w:sz w:val="32"/>
          <w:szCs w:val="32"/>
          <w:lang w:val="en-US" w:eastAsia="zh-CN"/>
        </w:rPr>
        <w:t>许可</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号</w:t>
      </w:r>
    </w:p>
    <w:p w14:paraId="434BB175">
      <w:pPr>
        <w:keepNext w:val="0"/>
        <w:keepLines w:val="0"/>
        <w:pageBreakBefore w:val="0"/>
        <w:widowControl w:val="0"/>
        <w:kinsoku/>
        <w:wordWrap/>
        <w:overflowPunct/>
        <w:topLinePunct w:val="0"/>
        <w:autoSpaceDE/>
        <w:autoSpaceDN/>
        <w:bidi w:val="0"/>
        <w:adjustRightInd/>
        <w:snapToGrid/>
        <w:spacing w:line="640" w:lineRule="exact"/>
        <w:jc w:val="right"/>
        <w:textAlignment w:val="auto"/>
        <w:rPr>
          <w:rFonts w:ascii="仿宋" w:hAnsi="仿宋" w:eastAsia="仿宋"/>
          <w:sz w:val="32"/>
          <w:szCs w:val="32"/>
        </w:rPr>
      </w:pPr>
    </w:p>
    <w:p w14:paraId="56E0F21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黑体" w:eastAsia="方正小标宋简体"/>
          <w:sz w:val="44"/>
          <w:szCs w:val="44"/>
        </w:rPr>
      </w:pPr>
      <w:r>
        <w:rPr>
          <w:rFonts w:hint="eastAsia" w:ascii="方正小标宋简体" w:hAnsi="黑体" w:eastAsia="方正小标宋简体"/>
          <w:sz w:val="44"/>
          <w:szCs w:val="44"/>
        </w:rPr>
        <w:t>随州市曾都区水利和湖泊局</w:t>
      </w:r>
    </w:p>
    <w:p w14:paraId="65D0DC9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黑体" w:eastAsia="方正小标宋简体"/>
          <w:sz w:val="44"/>
          <w:szCs w:val="44"/>
          <w:lang w:val="en-US" w:eastAsia="zh-CN"/>
        </w:rPr>
      </w:pPr>
      <w:r>
        <w:rPr>
          <w:rFonts w:hint="eastAsia" w:ascii="方正小标宋简体" w:hAnsi="黑体" w:eastAsia="方正小标宋简体"/>
          <w:sz w:val="44"/>
          <w:szCs w:val="44"/>
          <w:lang w:val="en-US" w:eastAsia="zh-CN"/>
        </w:rPr>
        <w:t>关于曾都区万店镇及淅河镇油茶扩面提质增效建设项目洪水影响评价报告的批复</w:t>
      </w:r>
    </w:p>
    <w:p w14:paraId="265D8202">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rPr>
      </w:pPr>
    </w:p>
    <w:p w14:paraId="6C51515A">
      <w:pPr>
        <w:keepNext w:val="0"/>
        <w:keepLines w:val="0"/>
        <w:pageBreakBefore w:val="0"/>
        <w:widowControl w:val="0"/>
        <w:kinsoku/>
        <w:wordWrap/>
        <w:overflowPunct/>
        <w:topLinePunct w:val="0"/>
        <w:autoSpaceDE/>
        <w:autoSpaceDN/>
        <w:bidi w:val="0"/>
        <w:adjustRightInd/>
        <w:snapToGrid/>
        <w:spacing w:line="600" w:lineRule="exact"/>
        <w:jc w:val="both"/>
        <w:textAlignment w:val="bottom"/>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随州市曾都乡村投资有限公司：</w:t>
      </w:r>
      <w:bookmarkStart w:id="0" w:name="_GoBack"/>
      <w:bookmarkEnd w:id="0"/>
    </w:p>
    <w:p w14:paraId="363F11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你单位关于开展曾都区万店镇及淅河镇油茶扩面提质增效建设项目洪水影响评价报告的审查申请及《曾都区万店镇及淅河镇油茶扩面提质增效建设项目洪水影响评价报告》（以下简称《洪评报告》）已收悉，根据《中华人民共和国防洪法》的有关规定，经组织专家审查，现批复如下：</w:t>
      </w:r>
    </w:p>
    <w:p w14:paraId="28DFA3E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黑体" w:hAnsi="黑体" w:eastAsia="黑体" w:cs="黑体"/>
          <w:sz w:val="32"/>
          <w:szCs w:val="32"/>
        </w:rPr>
      </w:pPr>
      <w:r>
        <w:rPr>
          <w:rFonts w:hint="eastAsia" w:ascii="黑体" w:hAnsi="黑体" w:eastAsia="黑体" w:cs="黑体"/>
          <w:sz w:val="32"/>
          <w:szCs w:val="32"/>
        </w:rPr>
        <w:t>一、工程基本情况</w:t>
      </w:r>
    </w:p>
    <w:p w14:paraId="103BE3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都区万店镇及淅河镇油茶扩面提质增效建设项目七座泵站分别位于万店镇落天坡村、横山村、兴隆村、先觉庙村，淅河镇两仙山村、刘家庄、白龙港村。该项目新造油茶林总面积2.37万亩及水肥一体化设施，并完成新造油茶基地前期抚育管护、支撑体系及林区配套设施建设。项目总投资2.24亿元，建设工期1年。</w:t>
      </w:r>
    </w:p>
    <w:p w14:paraId="2EC666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sectPr>
          <w:headerReference r:id="rId3" w:type="default"/>
          <w:footerReference r:id="rId4" w:type="default"/>
          <w:pgSz w:w="11906" w:h="16838"/>
          <w:pgMar w:top="1440" w:right="1800" w:bottom="1440" w:left="1800" w:header="851" w:footer="992" w:gutter="0"/>
          <w:pgNumType w:fmt="decimal" w:start="2"/>
          <w:cols w:space="425" w:num="1"/>
          <w:docGrid w:type="lines" w:linePitch="312" w:charSpace="0"/>
        </w:sectPr>
      </w:pPr>
    </w:p>
    <w:p w14:paraId="0A9EB5C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本项目七座泵站属于涉河涉库工程，其中落天坡村泵站（东经113°34′23.8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，北纬31°51′56.7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）泵房高程106.39米（泵站机组安装高程109.19米），位于先觉庙水库管理范围内；淅河先觉庙村泵站（东经113°31′29.4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，北纬31°47′19.9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）泵房高程95.39米，位于先觉庙水库东干渠管理范围内；两仙山村泵站（东经113°31′18.5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，北纬31°44′50.7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）泵房高程94.50米，涉马鞍山水库管理范围；刘家庄泵站（东经113°31′6.9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，北纬31°44′55.6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）泵房高程94.50米，涉马鞍山水库管理范围；白龙港村泵站（东经113°23′49.1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，北纬31°35′19.0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）泵房高程79.02米，位于浪河支流杨家店河河道管理范围内；横山村泵站（东经113°26′35.6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，北纬31°53′55.0″）泵房高程114.12米，位于先觉庙水库库区校核洪水位以上；兴隆村泵站（东经113°26′35.6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，北纬31°53′55.0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）泵房高程88.10米，位于漂水支流雷家台小河河道管理范围内。</w:t>
      </w:r>
    </w:p>
    <w:p w14:paraId="1E82B1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黑体" w:hAnsi="黑体" w:eastAsia="黑体" w:cs="黑体"/>
          <w:sz w:val="32"/>
          <w:szCs w:val="32"/>
        </w:rPr>
      </w:pPr>
      <w:r>
        <w:rPr>
          <w:rFonts w:hint="eastAsia" w:ascii="黑体" w:hAnsi="黑体" w:eastAsia="黑体" w:cs="黑体"/>
          <w:sz w:val="32"/>
          <w:szCs w:val="32"/>
        </w:rPr>
        <w:t>二、洪水评价分析和计算成果</w:t>
      </w:r>
    </w:p>
    <w:p w14:paraId="133D13A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基本同意《洪评报告》中建设项目中七座泵站设计洪水标准。</w:t>
      </w:r>
    </w:p>
    <w:p w14:paraId="48E5353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落天坡泵站、横山村泵站涉先觉庙水库，设计洪水标准为100年一遇、设计流量为2514立方米每秒，对应水位为109.11米；校核洪水标准为2000年一遇，设计流量为4145立方米每秒，对应水位为110.90米。</w:t>
      </w:r>
    </w:p>
    <w:p w14:paraId="73BF97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两仙山泵站、刘家庄泵站涉马鞍山水库，设计洪水标准为50年一遇，设计流量为686立方米每秒，对应水位为93.18米；校核洪水标准为1000年一遇，设计流量为1115立方米每秒，对应水位为94.37米。</w:t>
      </w:r>
    </w:p>
    <w:p w14:paraId="72A3BD2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白龙港泵站涉浪河支流杨家店河，设计洪水标准为10年一遇，设计流量为97立方米每秒，对应水位为76.97米；校核洪水标准为20年一遇，设计流量为120立方米每秒，对应水位为77.02米。</w:t>
      </w:r>
    </w:p>
    <w:p w14:paraId="270958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兴隆村泵站涉漂水支流雷家台小河，设计洪水标准为10年一遇，设计流量为85立方米每秒，对应水位为87.70米；校核洪水标准为20年一遇，设计流量为103立方米每秒，对应水位为87.87米。</w:t>
      </w:r>
    </w:p>
    <w:p w14:paraId="5DB11B2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淅河先觉庙村泵站涉先觉庙水库东干渠，设计洪水标准为10年一遇，设计流量为28.65—44.67立方米每秒，对应水位为82.26—68.55米；校核洪水标准为20年一遇，设计流量为28.65—44.67立方米每秒，对应水位为82.26—68.55米。</w:t>
      </w:r>
    </w:p>
    <w:p w14:paraId="5311F02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洪水影响综合评价</w:t>
      </w:r>
    </w:p>
    <w:p w14:paraId="1940C4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1.基本同意《洪评报告》工程建成后对河道行洪安全、河势稳定影响较小的评价结论。</w:t>
      </w:r>
    </w:p>
    <w:p w14:paraId="2B68CCB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2.基本同意《洪评报告》项目建设对水工程安全、防汛抢险以及第三人合法水事权益影响较小的评价结论。</w:t>
      </w:r>
    </w:p>
    <w:p w14:paraId="5CEA25F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黑体" w:hAnsi="黑体" w:eastAsia="黑体" w:cs="黑体"/>
          <w:sz w:val="32"/>
          <w:szCs w:val="32"/>
        </w:rPr>
      </w:pPr>
      <w:r>
        <w:rPr>
          <w:rFonts w:hint="eastAsia" w:ascii="黑体" w:hAnsi="黑体" w:eastAsia="黑体" w:cs="黑体"/>
          <w:sz w:val="32"/>
          <w:szCs w:val="32"/>
        </w:rPr>
        <w:t>四、工程影响防治与补救措施</w:t>
      </w:r>
    </w:p>
    <w:p w14:paraId="655B105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sectPr>
          <w:footerReference r:id="rId5" w:type="default"/>
          <w:pgSz w:w="11906" w:h="16838"/>
          <w:pgMar w:top="1440" w:right="1800" w:bottom="1440" w:left="1800" w:header="851" w:footer="992" w:gutter="0"/>
          <w:pgNumType w:fmt="decimal" w:start="2"/>
          <w:cols w:space="425" w:num="1"/>
          <w:docGrid w:type="lines" w:linePitch="312" w:charSpace="0"/>
        </w:sectPr>
      </w:pPr>
    </w:p>
    <w:p w14:paraId="2F33D6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1.项目涉水工程施工应选在枯水季，尽量避免在主汛期进行。如在汛期施工，建设单位应编制《施工期度汛方案和防汛抢险应急预案》，并报区防汛指挥机构审批。</w:t>
      </w:r>
    </w:p>
    <w:p w14:paraId="17CBEE9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2.施工完工后，应对河床进行恢复，对扰动岸坡进行加固防护，及时清除建筑垃圾，保障河道、水库行洪通畅。</w:t>
      </w:r>
    </w:p>
    <w:p w14:paraId="4B53A3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黑体" w:hAnsi="黑体" w:eastAsia="黑体" w:cs="黑体"/>
          <w:sz w:val="32"/>
          <w:szCs w:val="32"/>
        </w:rPr>
      </w:pPr>
      <w:r>
        <w:rPr>
          <w:rFonts w:hint="eastAsia" w:ascii="黑体" w:hAnsi="黑体" w:eastAsia="黑体" w:cs="黑体"/>
          <w:sz w:val="32"/>
          <w:szCs w:val="32"/>
        </w:rPr>
        <w:t>五、项目监督管理</w:t>
      </w:r>
    </w:p>
    <w:p w14:paraId="421447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1.该项目建设过程中有重大变更的，应按照规定重新办理行政审批手续。</w:t>
      </w:r>
    </w:p>
    <w:p w14:paraId="44EA41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2.涉水工程施工应在河道及水库管理单位的全程监督下进行，服从防汛指挥机构的统一指挥。施工过程中要注意保护河道、水库边坡稳定，严禁向河道、水库弃土弃渣。</w:t>
      </w:r>
    </w:p>
    <w:p w14:paraId="484D17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ottom"/>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3.因工程建设影响第三人合法水事权益的，由建设单位妥善解决。</w:t>
      </w:r>
    </w:p>
    <w:p w14:paraId="78429349">
      <w:pPr>
        <w:keepNext w:val="0"/>
        <w:keepLines w:val="0"/>
        <w:pageBreakBefore w:val="0"/>
        <w:widowControl w:val="0"/>
        <w:kinsoku/>
        <w:wordWrap w:val="0"/>
        <w:overflowPunct/>
        <w:topLinePunct/>
        <w:autoSpaceDE/>
        <w:autoSpaceDN w:val="0"/>
        <w:bidi w:val="0"/>
        <w:adjustRightInd/>
        <w:snapToGrid/>
        <w:spacing w:line="600" w:lineRule="exact"/>
        <w:jc w:val="both"/>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14:paraId="787442EA">
      <w:pPr>
        <w:keepNext w:val="0"/>
        <w:keepLines w:val="0"/>
        <w:pageBreakBefore w:val="0"/>
        <w:widowControl w:val="0"/>
        <w:kinsoku/>
        <w:wordWrap w:val="0"/>
        <w:overflowPunct/>
        <w:topLinePunct/>
        <w:autoSpaceDE/>
        <w:autoSpaceDN w:val="0"/>
        <w:bidi w:val="0"/>
        <w:adjustRightInd/>
        <w:snapToGrid/>
        <w:spacing w:line="600" w:lineRule="exact"/>
        <w:ind w:firstLine="640" w:firstLineChars="200"/>
        <w:jc w:val="both"/>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14:paraId="2B66315E">
      <w:pPr>
        <w:keepNext w:val="0"/>
        <w:keepLines w:val="0"/>
        <w:pageBreakBefore w:val="0"/>
        <w:widowControl w:val="0"/>
        <w:kinsoku/>
        <w:wordWrap w:val="0"/>
        <w:overflowPunct/>
        <w:topLinePunct/>
        <w:autoSpaceDE/>
        <w:autoSpaceDN w:val="0"/>
        <w:bidi w:val="0"/>
        <w:adjustRightInd/>
        <w:snapToGrid/>
        <w:spacing w:line="600" w:lineRule="exact"/>
        <w:ind w:firstLine="4160" w:firstLineChars="1300"/>
        <w:jc w:val="both"/>
        <w:textAlignment w:val="bottom"/>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随州市曾都区水利和湖泊局</w:t>
      </w:r>
    </w:p>
    <w:p w14:paraId="197D3628">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r>
        <w:rPr>
          <w:rFonts w:hint="eastAsia" w:ascii="仿宋_GB2312" w:hAnsi="仿宋_GB2312" w:eastAsia="仿宋_GB2312" w:cs="仿宋_GB2312"/>
          <w:color w:val="000000"/>
          <w:spacing w:val="20"/>
          <w:sz w:val="32"/>
          <w:szCs w:val="32"/>
        </w:rPr>
        <w:t>202</w:t>
      </w:r>
      <w:r>
        <w:rPr>
          <w:rFonts w:hint="eastAsia" w:ascii="仿宋_GB2312" w:hAnsi="仿宋_GB2312" w:eastAsia="仿宋_GB2312" w:cs="仿宋_GB2312"/>
          <w:color w:val="000000"/>
          <w:spacing w:val="20"/>
          <w:sz w:val="32"/>
          <w:szCs w:val="32"/>
          <w:lang w:val="en-US" w:eastAsia="zh-CN"/>
        </w:rPr>
        <w:t>6</w:t>
      </w:r>
      <w:r>
        <w:rPr>
          <w:rFonts w:hint="eastAsia" w:ascii="仿宋_GB2312" w:hAnsi="仿宋_GB2312" w:eastAsia="仿宋_GB2312" w:cs="仿宋_GB2312"/>
          <w:color w:val="000000"/>
          <w:spacing w:val="20"/>
          <w:sz w:val="32"/>
          <w:szCs w:val="32"/>
        </w:rPr>
        <w:t>年</w:t>
      </w:r>
      <w:r>
        <w:rPr>
          <w:rFonts w:hint="eastAsia" w:ascii="仿宋_GB2312" w:hAnsi="仿宋_GB2312" w:eastAsia="仿宋_GB2312" w:cs="仿宋_GB2312"/>
          <w:color w:val="000000"/>
          <w:spacing w:val="20"/>
          <w:sz w:val="32"/>
          <w:szCs w:val="32"/>
          <w:lang w:val="en-US" w:eastAsia="zh-CN"/>
        </w:rPr>
        <w:t>3</w:t>
      </w:r>
      <w:r>
        <w:rPr>
          <w:rFonts w:hint="eastAsia" w:ascii="仿宋_GB2312" w:hAnsi="仿宋_GB2312" w:eastAsia="仿宋_GB2312" w:cs="仿宋_GB2312"/>
          <w:color w:val="000000"/>
          <w:spacing w:val="20"/>
          <w:sz w:val="32"/>
          <w:szCs w:val="32"/>
        </w:rPr>
        <w:t>月</w:t>
      </w:r>
      <w:r>
        <w:rPr>
          <w:rFonts w:hint="eastAsia" w:ascii="仿宋_GB2312" w:hAnsi="仿宋_GB2312" w:eastAsia="仿宋_GB2312" w:cs="仿宋_GB2312"/>
          <w:color w:val="000000"/>
          <w:spacing w:val="20"/>
          <w:sz w:val="32"/>
          <w:szCs w:val="32"/>
          <w:lang w:val="en-US" w:eastAsia="zh-CN"/>
        </w:rPr>
        <w:t>31日</w:t>
      </w:r>
    </w:p>
    <w:p w14:paraId="0CA08CCC">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p>
    <w:p w14:paraId="2C8CC2E2">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p>
    <w:p w14:paraId="6DB9D0F1">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p>
    <w:p w14:paraId="41766C50">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p>
    <w:p w14:paraId="5F9BADD7">
      <w:pPr>
        <w:keepNext w:val="0"/>
        <w:keepLines w:val="0"/>
        <w:pageBreakBefore w:val="0"/>
        <w:widowControl w:val="0"/>
        <w:kinsoku/>
        <w:wordWrap/>
        <w:overflowPunct/>
        <w:topLinePunct w:val="0"/>
        <w:autoSpaceDE/>
        <w:autoSpaceDN/>
        <w:bidi w:val="0"/>
        <w:adjustRightInd/>
        <w:snapToGrid/>
        <w:spacing w:line="600" w:lineRule="exact"/>
        <w:ind w:firstLine="4680" w:firstLineChars="1300"/>
        <w:textAlignment w:val="auto"/>
        <w:rPr>
          <w:rFonts w:hint="eastAsia" w:ascii="仿宋_GB2312" w:hAnsi="仿宋_GB2312" w:eastAsia="仿宋_GB2312" w:cs="仿宋_GB2312"/>
          <w:color w:val="000000"/>
          <w:spacing w:val="20"/>
          <w:sz w:val="32"/>
          <w:szCs w:val="32"/>
          <w:lang w:val="en-US" w:eastAsia="zh-CN"/>
        </w:rPr>
      </w:pPr>
    </w:p>
    <w:p w14:paraId="6F76139C">
      <w:pPr>
        <w:pBdr>
          <w:top w:val="single" w:color="auto" w:sz="6" w:space="0"/>
          <w:bottom w:val="single" w:color="auto" w:sz="6" w:space="1"/>
        </w:pBdr>
        <w:tabs>
          <w:tab w:val="left" w:pos="1800"/>
          <w:tab w:val="left" w:pos="1980"/>
        </w:tabs>
        <w:spacing w:line="560" w:lineRule="exact"/>
        <w:ind w:firstLine="280" w:firstLineChars="100"/>
        <w:rPr>
          <w:rFonts w:hint="eastAsia" w:ascii="仿宋_GB2312" w:hAnsi="仿宋_GB2312" w:eastAsia="仿宋_GB2312" w:cs="仿宋_GB2312"/>
          <w:color w:val="000000"/>
          <w:spacing w:val="20"/>
          <w:sz w:val="32"/>
          <w:szCs w:val="32"/>
          <w:lang w:val="en-US" w:eastAsia="zh-CN"/>
        </w:rPr>
      </w:pPr>
      <w:r>
        <w:rPr>
          <w:rFonts w:hint="eastAsia" w:ascii="仿宋_GB2312" w:hAnsi="仿宋_GB2312" w:eastAsia="仿宋_GB2312" w:cs="仿宋_GB2312"/>
          <w:bCs/>
          <w:sz w:val="28"/>
          <w:szCs w:val="28"/>
        </w:rPr>
        <w:t xml:space="preserve">随州市曾都区水利和湖泊局办公室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2026年</w:t>
      </w:r>
      <w:r>
        <w:rPr>
          <w:rFonts w:hint="eastAsia" w:ascii="仿宋_GB2312" w:hAnsi="仿宋_GB2312" w:eastAsia="仿宋_GB2312" w:cs="仿宋_GB2312"/>
          <w:bCs/>
          <w:sz w:val="28"/>
          <w:szCs w:val="28"/>
          <w:lang w:val="en-US" w:eastAsia="zh-CN"/>
        </w:rPr>
        <w:t>3</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31</w:t>
      </w:r>
      <w:r>
        <w:rPr>
          <w:rFonts w:hint="eastAsia" w:ascii="仿宋_GB2312" w:hAnsi="仿宋_GB2312" w:eastAsia="仿宋_GB2312" w:cs="仿宋_GB2312"/>
          <w:bCs/>
          <w:sz w:val="28"/>
          <w:szCs w:val="28"/>
        </w:rPr>
        <w:t xml:space="preserve">日印发 </w:t>
      </w:r>
    </w:p>
    <w:sectPr>
      <w:footerReference r:id="rId6"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83DB8">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CCF6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712A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7712A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8440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908D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D65"/>
    <w:rsid w:val="00CD6180"/>
    <w:rsid w:val="00D033D6"/>
    <w:rsid w:val="00E10D84"/>
    <w:rsid w:val="00E56D65"/>
    <w:rsid w:val="01815349"/>
    <w:rsid w:val="01C20BC1"/>
    <w:rsid w:val="04D532F8"/>
    <w:rsid w:val="059373BD"/>
    <w:rsid w:val="06CB7674"/>
    <w:rsid w:val="076E6040"/>
    <w:rsid w:val="088552E1"/>
    <w:rsid w:val="0B680A2B"/>
    <w:rsid w:val="0B9C3CC0"/>
    <w:rsid w:val="0CAD0C97"/>
    <w:rsid w:val="0DA62FD1"/>
    <w:rsid w:val="0DAE46EF"/>
    <w:rsid w:val="0DB55A7E"/>
    <w:rsid w:val="0DD83A3B"/>
    <w:rsid w:val="0FC24BDA"/>
    <w:rsid w:val="12E02245"/>
    <w:rsid w:val="13ED1A3D"/>
    <w:rsid w:val="142F2DDA"/>
    <w:rsid w:val="15915022"/>
    <w:rsid w:val="16AD3796"/>
    <w:rsid w:val="178725A8"/>
    <w:rsid w:val="198A04A3"/>
    <w:rsid w:val="200603BB"/>
    <w:rsid w:val="20DC5E78"/>
    <w:rsid w:val="213C3913"/>
    <w:rsid w:val="23425BAE"/>
    <w:rsid w:val="2457032D"/>
    <w:rsid w:val="254621B4"/>
    <w:rsid w:val="262D555A"/>
    <w:rsid w:val="27D72D69"/>
    <w:rsid w:val="28D953F8"/>
    <w:rsid w:val="29541EC3"/>
    <w:rsid w:val="29831B1F"/>
    <w:rsid w:val="2CF4664D"/>
    <w:rsid w:val="2E725511"/>
    <w:rsid w:val="2EA63356"/>
    <w:rsid w:val="347B3DF7"/>
    <w:rsid w:val="36BC3E8F"/>
    <w:rsid w:val="373B6744"/>
    <w:rsid w:val="373D1AAE"/>
    <w:rsid w:val="38F82B3F"/>
    <w:rsid w:val="3C1A4529"/>
    <w:rsid w:val="3C340332"/>
    <w:rsid w:val="3F7722E4"/>
    <w:rsid w:val="411C72F5"/>
    <w:rsid w:val="468034B7"/>
    <w:rsid w:val="491E3689"/>
    <w:rsid w:val="4A541B9F"/>
    <w:rsid w:val="4E6B74B7"/>
    <w:rsid w:val="52603EB2"/>
    <w:rsid w:val="57E06B2A"/>
    <w:rsid w:val="643B38FE"/>
    <w:rsid w:val="64537B08"/>
    <w:rsid w:val="68F20AA9"/>
    <w:rsid w:val="6F364F80"/>
    <w:rsid w:val="6F8A4A0A"/>
    <w:rsid w:val="71940950"/>
    <w:rsid w:val="71990DB7"/>
    <w:rsid w:val="74707796"/>
    <w:rsid w:val="78922459"/>
    <w:rsid w:val="7B18614D"/>
    <w:rsid w:val="7B7D50ED"/>
    <w:rsid w:val="7C243837"/>
    <w:rsid w:val="7E522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70da7671-6cfa-4c04-9075-7d1c9f3a1024</errorID>
      <errorWord>庄</errorWord>
      <group>L1_Word</group>
      <groupName>字词问题</groupName>
      <ability>L2_Typo</ability>
      <abilityName>字词错误</abilityName>
      <candidateList>
        <item>庄村</item>
      </candidateList>
      <explain/>
      <paraID>103BE35D</paraID>
      <start>61</start>
      <end>62</end>
      <status>ignored</status>
      <modifiedWord/>
      <trackRevisions>false</trackRevisions>
    </reviewItem>
    <reviewItem>
      <errorID>a76aec20-b848-4c34-b835-d57cd797c441</errorID>
      <errorWord>      </errorWord>
      <group>L1_Format</group>
      <groupName>格式问题</groupName>
      <ability>L2_Whitespace</ability>
      <abilityName>空白字符</abilityName>
      <candidateList>
        <item/>
      </candidateList>
      <explain>文本间存在多余的空白字符。</explain>
      <paraID>6F76139C</paraID>
      <start>15</start>
      <end>21</end>
      <status>ignored</status>
      <modifiedWord/>
      <trackRevisions>false</trackRevisions>
    </reviewItem>
    <reviewItem>
      <errorID>6b1f4bc8-c33a-4a92-bd69-00691f1c8c38</errorID>
      <errorWord> </errorWord>
      <group>L1_Format</group>
      <groupName>格式问题</groupName>
      <ability>L2_Whitespace</ability>
      <abilityName>空白字符</abilityName>
      <candidateList>
        <item/>
      </candidateList>
      <explain>文本间存在多余的空白字符。</explain>
      <paraID>6F76139C</paraID>
      <start>33</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55bcac-9669-49ad-9d6d-7aaa6a809f7e}">
  <ds:schemaRefs/>
</ds:datastoreItem>
</file>

<file path=docProps/app.xml><?xml version="1.0" encoding="utf-8"?>
<Properties xmlns="http://schemas.openxmlformats.org/officeDocument/2006/extended-properties" xmlns:vt="http://schemas.openxmlformats.org/officeDocument/2006/docPropsVTypes">
  <Template>Normal</Template>
  <Pages>4</Pages>
  <Words>1571</Words>
  <Characters>1805</Characters>
  <Lines>5</Lines>
  <Paragraphs>1</Paragraphs>
  <TotalTime>0</TotalTime>
  <ScaleCrop>false</ScaleCrop>
  <LinksUpToDate>false</LinksUpToDate>
  <CharactersWithSpaces>1832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2025-01-23T01:14:00Z</dcterms:created>
  <dc:creator>Administrator</dc:creator>
  <cp:lastModifiedBy>果真不打烊</cp:lastModifiedBy>
  <cp:lastPrinted>2026-03-20T09:04:00Z</cp:lastPrinted>
  <dcterms:modified xsi:type="dcterms:W3CDTF">2026-03-31T08:30:37Z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eyJoZGlkIjoiYWUwZmJlMDMyNTY5NjgxOGU0Y2M5MmQ0N2JhZGY3ZDMiLCJ1c2VySWQiOiI1MTA2NTI0MTcifQ==</vt:lpwstr>
  </property>
  <property fmtid="{D5CDD505-2E9C-101B-9397-08002B2CF9AE}" pid="3" name="KSOProductBuildVer">
    <vt:lpwstr>2052-12.1.0.25225</vt:lpwstr>
  </property>
  <property fmtid="{D5CDD505-2E9C-101B-9397-08002B2CF9AE}" pid="4" name="ICV">
    <vt:lpwstr>455D2E3822DB41A9A5935C11FA1CD2D4_13</vt:lpwstr>
  </property>
</Properties>
</file>