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583FF">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rPr>
      </w:pPr>
    </w:p>
    <w:p w14:paraId="5EC73DDF">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rPr>
      </w:pPr>
    </w:p>
    <w:p w14:paraId="7967659F">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rPr>
      </w:pPr>
    </w:p>
    <w:p w14:paraId="7CAE3805">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eastAsia" w:ascii="仿宋_GB2312" w:hAnsi="仿宋_GB2312" w:eastAsia="仿宋_GB2312" w:cs="仿宋_GB2312"/>
          <w:color w:val="000000"/>
          <w:sz w:val="32"/>
          <w:szCs w:val="32"/>
        </w:rPr>
      </w:pPr>
    </w:p>
    <w:p w14:paraId="65ADE9AB">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sz w:val="44"/>
          <w:szCs w:val="44"/>
        </w:rPr>
      </w:pPr>
      <w:r>
        <w:rPr>
          <w:rFonts w:hint="eastAsia" w:ascii="仿宋_GB2312" w:hAnsi="仿宋_GB2312" w:eastAsia="仿宋_GB2312" w:cs="仿宋_GB2312"/>
          <w:color w:val="000000"/>
          <w:sz w:val="32"/>
          <w:szCs w:val="32"/>
        </w:rPr>
        <w:t>曾审计委发〔202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〕2号</w:t>
      </w:r>
    </w:p>
    <w:p w14:paraId="5FE59B5D">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jc w:val="center"/>
        <w:textAlignment w:val="auto"/>
        <w:rPr>
          <w:rFonts w:hint="eastAsia" w:ascii="方正小标宋简体" w:hAnsi="方正小标宋简体" w:eastAsia="方正小标宋简体" w:cs="方正小标宋简体"/>
          <w:color w:val="000000"/>
          <w:sz w:val="44"/>
          <w:szCs w:val="44"/>
        </w:rPr>
      </w:pPr>
    </w:p>
    <w:p w14:paraId="0CFF5CE1">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中共随州市曾都区委审计委员会关于</w:t>
      </w:r>
    </w:p>
    <w:p w14:paraId="2BC9A21B">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印发《曾都区202</w:t>
      </w:r>
      <w:r>
        <w:rPr>
          <w:rFonts w:hint="eastAsia" w:ascii="方正小标宋简体" w:hAnsi="方正小标宋简体" w:eastAsia="方正小标宋简体" w:cs="方正小标宋简体"/>
          <w:color w:val="000000"/>
          <w:sz w:val="44"/>
          <w:szCs w:val="44"/>
          <w:lang w:val="en-US" w:eastAsia="zh-CN"/>
        </w:rPr>
        <w:t>6</w:t>
      </w:r>
      <w:r>
        <w:rPr>
          <w:rFonts w:hint="eastAsia" w:ascii="方正小标宋简体" w:hAnsi="方正小标宋简体" w:eastAsia="方正小标宋简体" w:cs="方正小标宋简体"/>
          <w:color w:val="000000"/>
          <w:sz w:val="44"/>
          <w:szCs w:val="44"/>
        </w:rPr>
        <w:t>年度审计项目计划》的通知</w:t>
      </w:r>
    </w:p>
    <w:p w14:paraId="4CA9F03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both"/>
        <w:textAlignment w:val="auto"/>
        <w:rPr>
          <w:rFonts w:hint="eastAsia" w:ascii="仿宋_GB2312" w:hAnsi="仿宋_GB2312" w:eastAsia="仿宋_GB2312" w:cs="仿宋_GB2312"/>
          <w:color w:val="000000"/>
          <w:sz w:val="32"/>
          <w:szCs w:val="32"/>
        </w:rPr>
      </w:pPr>
    </w:p>
    <w:p w14:paraId="563E19E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各镇、街道、经济开发区党（工）委，各镇人民政府、街道办事处、经济开发区管委会，区人武部党委，区委各部委，区级国家机关各办局（总公司）党委（党组、总支），各人民团体党组（支部）：</w:t>
      </w:r>
    </w:p>
    <w:p w14:paraId="52576F1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color w:val="000000"/>
          <w:sz w:val="32"/>
          <w:szCs w:val="32"/>
        </w:rPr>
      </w:pPr>
    </w:p>
    <w:p w14:paraId="7AA742E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《曾都区202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年度审计项目计划》已经三届区委审计委员会第</w:t>
      </w:r>
      <w:r>
        <w:rPr>
          <w:rFonts w:hint="eastAsia" w:ascii="仿宋_GB2312" w:hAnsi="仿宋_GB2312" w:eastAsia="仿宋_GB2312" w:cs="仿宋_GB2312"/>
          <w:color w:val="000000"/>
          <w:sz w:val="32"/>
          <w:szCs w:val="32"/>
          <w:lang w:eastAsia="zh-CN"/>
        </w:rPr>
        <w:t>七</w:t>
      </w:r>
      <w:r>
        <w:rPr>
          <w:rFonts w:hint="eastAsia" w:ascii="仿宋_GB2312" w:hAnsi="仿宋_GB2312" w:eastAsia="仿宋_GB2312" w:cs="仿宋_GB2312"/>
          <w:color w:val="000000"/>
          <w:sz w:val="32"/>
          <w:szCs w:val="32"/>
        </w:rPr>
        <w:t>次会议审议通过，现印发给你们，请认真贯彻执行。</w:t>
      </w:r>
    </w:p>
    <w:p w14:paraId="2F75C6E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textAlignment w:val="auto"/>
        <w:rPr>
          <w:rFonts w:hint="eastAsia" w:ascii="仿宋_GB2312" w:hAnsi="仿宋_GB2312" w:eastAsia="仿宋_GB2312" w:cs="仿宋_GB2312"/>
          <w:color w:val="000000"/>
          <w:sz w:val="32"/>
          <w:szCs w:val="32"/>
        </w:rPr>
      </w:pPr>
    </w:p>
    <w:p w14:paraId="1BE325C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textAlignment w:val="auto"/>
        <w:rPr>
          <w:rFonts w:hint="eastAsia" w:ascii="仿宋_GB2312" w:hAnsi="仿宋_GB2312" w:eastAsia="仿宋_GB2312" w:cs="仿宋_GB2312"/>
          <w:color w:val="000000"/>
          <w:sz w:val="32"/>
          <w:szCs w:val="32"/>
        </w:rPr>
      </w:pPr>
    </w:p>
    <w:p w14:paraId="7580B52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14:paraId="75F1EA8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jc w:val="center"/>
        <w:textAlignment w:val="auto"/>
        <w:rPr>
          <w:rFonts w:hint="eastAsia" w:ascii="仿宋_GB2312" w:hAnsi="仿宋_GB2312" w:eastAsia="仿宋_GB2312" w:cs="仿宋_GB2312"/>
          <w:color w:val="000000"/>
          <w:sz w:val="32"/>
          <w:szCs w:val="32"/>
          <w:lang w:val="en-US" w:eastAsia="zh-CN"/>
        </w:rPr>
      </w:pPr>
      <w:bookmarkStart w:id="0" w:name="_GoBack"/>
      <w:bookmarkEnd w:id="0"/>
    </w:p>
    <w:p w14:paraId="3F651A08">
      <w:pPr>
        <w:keepNext w:val="0"/>
        <w:keepLines w:val="0"/>
        <w:pageBreakBefore w:val="0"/>
        <w:widowControl w:val="0"/>
        <w:tabs>
          <w:tab w:val="left" w:pos="8460"/>
        </w:tabs>
        <w:kinsoku/>
        <w:wordWrap/>
        <w:overflowPunct/>
        <w:topLinePunct/>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sz w:val="44"/>
          <w:szCs w:val="44"/>
          <w:lang w:eastAsia="zh-CN"/>
        </w:rPr>
      </w:pPr>
    </w:p>
    <w:p w14:paraId="6AAF7C11">
      <w:pPr>
        <w:keepNext w:val="0"/>
        <w:keepLines w:val="0"/>
        <w:pageBreakBefore w:val="0"/>
        <w:widowControl w:val="0"/>
        <w:tabs>
          <w:tab w:val="left" w:pos="8460"/>
        </w:tabs>
        <w:kinsoku/>
        <w:wordWrap/>
        <w:overflowPunct/>
        <w:topLinePunct/>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曾都区</w:t>
      </w: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val="en-US" w:eastAsia="zh-CN"/>
        </w:rPr>
        <w:t>度</w:t>
      </w:r>
      <w:r>
        <w:rPr>
          <w:rFonts w:hint="eastAsia" w:ascii="方正小标宋简体" w:hAnsi="方正小标宋简体" w:eastAsia="方正小标宋简体" w:cs="方正小标宋简体"/>
          <w:color w:val="auto"/>
          <w:sz w:val="44"/>
          <w:szCs w:val="44"/>
        </w:rPr>
        <w:t>审计项目计划</w:t>
      </w:r>
    </w:p>
    <w:p w14:paraId="57A3F683">
      <w:pPr>
        <w:keepNext w:val="0"/>
        <w:keepLines w:val="0"/>
        <w:pageBreakBefore w:val="0"/>
        <w:widowControl w:val="0"/>
        <w:kinsoku/>
        <w:wordWrap/>
        <w:overflowPunct/>
        <w:topLinePunct/>
        <w:autoSpaceDE/>
        <w:autoSpaceDN/>
        <w:bidi w:val="0"/>
        <w:adjustRightInd/>
        <w:snapToGrid/>
        <w:spacing w:line="579" w:lineRule="exact"/>
        <w:jc w:val="both"/>
        <w:textAlignment w:val="auto"/>
        <w:rPr>
          <w:rFonts w:hint="eastAsia" w:ascii="仿宋_GB2312" w:hAnsi="仿宋_GB2312" w:eastAsia="仿宋_GB2312" w:cs="仿宋_GB2312"/>
          <w:color w:val="auto"/>
          <w:sz w:val="32"/>
          <w:szCs w:val="32"/>
        </w:rPr>
      </w:pPr>
    </w:p>
    <w:p w14:paraId="633B0186">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i w:val="0"/>
          <w:iCs w:val="0"/>
          <w:color w:val="auto"/>
          <w:sz w:val="32"/>
          <w:szCs w:val="32"/>
          <w:u w:val="none"/>
          <w:lang w:val="en-US" w:eastAsia="zh-CN"/>
        </w:rPr>
      </w:pPr>
      <w:r>
        <w:rPr>
          <w:rFonts w:hint="eastAsia" w:ascii="仿宋_GB2312" w:hAnsi="仿宋_GB2312" w:eastAsia="仿宋_GB2312" w:cs="仿宋_GB2312"/>
          <w:b w:val="0"/>
          <w:bCs w:val="0"/>
          <w:i w:val="0"/>
          <w:iCs w:val="0"/>
          <w:color w:val="auto"/>
          <w:sz w:val="32"/>
          <w:szCs w:val="32"/>
          <w:u w:val="none"/>
        </w:rPr>
        <w:t>202</w:t>
      </w:r>
      <w:r>
        <w:rPr>
          <w:rFonts w:hint="eastAsia" w:ascii="仿宋_GB2312" w:hAnsi="仿宋_GB2312" w:eastAsia="仿宋_GB2312" w:cs="仿宋_GB2312"/>
          <w:b w:val="0"/>
          <w:bCs w:val="0"/>
          <w:i w:val="0"/>
          <w:iCs w:val="0"/>
          <w:color w:val="auto"/>
          <w:sz w:val="32"/>
          <w:szCs w:val="32"/>
          <w:u w:val="none"/>
          <w:lang w:val="en-US" w:eastAsia="zh-CN"/>
        </w:rPr>
        <w:t>6</w:t>
      </w:r>
      <w:r>
        <w:rPr>
          <w:rFonts w:hint="eastAsia" w:ascii="仿宋_GB2312" w:hAnsi="仿宋_GB2312" w:eastAsia="仿宋_GB2312" w:cs="仿宋_GB2312"/>
          <w:b w:val="0"/>
          <w:bCs w:val="0"/>
          <w:i w:val="0"/>
          <w:iCs w:val="0"/>
          <w:color w:val="auto"/>
          <w:sz w:val="32"/>
          <w:szCs w:val="32"/>
          <w:u w:val="none"/>
        </w:rPr>
        <w:t>年是“十五五”</w:t>
      </w:r>
      <w:r>
        <w:rPr>
          <w:rFonts w:hint="eastAsia" w:ascii="仿宋_GB2312" w:hAnsi="仿宋_GB2312" w:eastAsia="仿宋_GB2312" w:cs="仿宋_GB2312"/>
          <w:b w:val="0"/>
          <w:bCs w:val="0"/>
          <w:i w:val="0"/>
          <w:iCs w:val="0"/>
          <w:color w:val="auto"/>
          <w:sz w:val="32"/>
          <w:szCs w:val="32"/>
          <w:u w:val="none"/>
          <w:lang w:eastAsia="zh-CN"/>
        </w:rPr>
        <w:t>规划开局</w:t>
      </w:r>
      <w:r>
        <w:rPr>
          <w:rFonts w:hint="eastAsia" w:ascii="仿宋_GB2312" w:hAnsi="仿宋_GB2312" w:eastAsia="仿宋_GB2312" w:cs="仿宋_GB2312"/>
          <w:b w:val="0"/>
          <w:bCs w:val="0"/>
          <w:i w:val="0"/>
          <w:iCs w:val="0"/>
          <w:color w:val="auto"/>
          <w:sz w:val="32"/>
          <w:szCs w:val="32"/>
          <w:u w:val="none"/>
        </w:rPr>
        <w:t>之年，也是</w:t>
      </w:r>
      <w:r>
        <w:rPr>
          <w:rFonts w:hint="eastAsia" w:ascii="仿宋_GB2312" w:hAnsi="仿宋_GB2312" w:eastAsia="仿宋_GB2312" w:cs="仿宋_GB2312"/>
          <w:b w:val="0"/>
          <w:bCs w:val="0"/>
          <w:i w:val="0"/>
          <w:iCs w:val="0"/>
          <w:color w:val="auto"/>
          <w:sz w:val="32"/>
          <w:szCs w:val="32"/>
          <w:u w:val="none"/>
          <w:lang w:eastAsia="zh-CN"/>
        </w:rPr>
        <w:t>承前启后的关键</w:t>
      </w:r>
      <w:r>
        <w:rPr>
          <w:rFonts w:hint="eastAsia" w:ascii="仿宋_GB2312" w:hAnsi="仿宋_GB2312" w:eastAsia="仿宋_GB2312" w:cs="仿宋_GB2312"/>
          <w:b w:val="0"/>
          <w:bCs w:val="0"/>
          <w:i w:val="0"/>
          <w:iCs w:val="0"/>
          <w:color w:val="auto"/>
          <w:sz w:val="32"/>
          <w:szCs w:val="32"/>
          <w:u w:val="none"/>
        </w:rPr>
        <w:t>之年。为做好202</w:t>
      </w:r>
      <w:r>
        <w:rPr>
          <w:rFonts w:hint="eastAsia" w:ascii="仿宋_GB2312" w:hAnsi="仿宋_GB2312" w:eastAsia="仿宋_GB2312" w:cs="仿宋_GB2312"/>
          <w:b w:val="0"/>
          <w:bCs w:val="0"/>
          <w:i w:val="0"/>
          <w:iCs w:val="0"/>
          <w:color w:val="auto"/>
          <w:sz w:val="32"/>
          <w:szCs w:val="32"/>
          <w:u w:val="none"/>
          <w:lang w:val="en-US" w:eastAsia="zh-CN"/>
        </w:rPr>
        <w:t>6</w:t>
      </w:r>
      <w:r>
        <w:rPr>
          <w:rFonts w:hint="eastAsia" w:ascii="仿宋_GB2312" w:hAnsi="仿宋_GB2312" w:eastAsia="仿宋_GB2312" w:cs="仿宋_GB2312"/>
          <w:b w:val="0"/>
          <w:bCs w:val="0"/>
          <w:i w:val="0"/>
          <w:iCs w:val="0"/>
          <w:color w:val="auto"/>
          <w:sz w:val="32"/>
          <w:szCs w:val="32"/>
          <w:u w:val="none"/>
        </w:rPr>
        <w:t>年度审计工作，充分发挥审计监督职能作用，根据《湖北省审计机关审计项目计划管理办法》</w:t>
      </w:r>
      <w:r>
        <w:rPr>
          <w:rFonts w:hint="eastAsia" w:ascii="仿宋_GB2312" w:hAnsi="仿宋_GB2312" w:eastAsia="仿宋_GB2312" w:cs="仿宋_GB2312"/>
          <w:b w:val="0"/>
          <w:bCs w:val="0"/>
          <w:i w:val="0"/>
          <w:iCs w:val="0"/>
          <w:color w:val="auto"/>
          <w:sz w:val="32"/>
          <w:szCs w:val="32"/>
          <w:u w:val="none"/>
          <w:lang w:eastAsia="zh-CN"/>
        </w:rPr>
        <w:t>《湖北省审计厅</w:t>
      </w:r>
      <w:r>
        <w:rPr>
          <w:rFonts w:hint="eastAsia" w:ascii="仿宋_GB2312" w:hAnsi="仿宋_GB2312" w:eastAsia="仿宋_GB2312" w:cs="仿宋_GB2312"/>
          <w:b w:val="0"/>
          <w:bCs w:val="0"/>
          <w:i w:val="0"/>
          <w:iCs w:val="0"/>
          <w:color w:val="auto"/>
          <w:sz w:val="32"/>
          <w:szCs w:val="32"/>
          <w:u w:val="none"/>
          <w:lang w:val="en-US" w:eastAsia="zh-CN"/>
        </w:rPr>
        <w:t>2026年度统一组织审计项目计划</w:t>
      </w:r>
      <w:r>
        <w:rPr>
          <w:rFonts w:hint="eastAsia" w:ascii="仿宋_GB2312" w:hAnsi="仿宋_GB2312" w:eastAsia="仿宋_GB2312" w:cs="仿宋_GB2312"/>
          <w:b w:val="0"/>
          <w:bCs w:val="0"/>
          <w:i w:val="0"/>
          <w:iCs w:val="0"/>
          <w:color w:val="auto"/>
          <w:sz w:val="32"/>
          <w:szCs w:val="32"/>
          <w:u w:val="none"/>
          <w:lang w:eastAsia="zh-CN"/>
        </w:rPr>
        <w:t>》《随州市202</w:t>
      </w:r>
      <w:r>
        <w:rPr>
          <w:rFonts w:hint="eastAsia" w:ascii="仿宋_GB2312" w:hAnsi="仿宋_GB2312" w:eastAsia="仿宋_GB2312" w:cs="仿宋_GB2312"/>
          <w:b w:val="0"/>
          <w:bCs w:val="0"/>
          <w:i w:val="0"/>
          <w:iCs w:val="0"/>
          <w:color w:val="auto"/>
          <w:sz w:val="32"/>
          <w:szCs w:val="32"/>
          <w:u w:val="none"/>
          <w:lang w:val="en-US" w:eastAsia="zh-CN"/>
        </w:rPr>
        <w:t>6</w:t>
      </w:r>
      <w:r>
        <w:rPr>
          <w:rFonts w:hint="eastAsia" w:ascii="仿宋_GB2312" w:hAnsi="仿宋_GB2312" w:eastAsia="仿宋_GB2312" w:cs="仿宋_GB2312"/>
          <w:b w:val="0"/>
          <w:bCs w:val="0"/>
          <w:i w:val="0"/>
          <w:iCs w:val="0"/>
          <w:color w:val="auto"/>
          <w:sz w:val="32"/>
          <w:szCs w:val="32"/>
          <w:u w:val="none"/>
          <w:lang w:eastAsia="zh-CN"/>
        </w:rPr>
        <w:t>年度审计项目计划》等相关要求</w:t>
      </w:r>
      <w:r>
        <w:rPr>
          <w:rFonts w:hint="eastAsia" w:ascii="仿宋_GB2312" w:hAnsi="仿宋_GB2312" w:eastAsia="仿宋_GB2312" w:cs="仿宋_GB2312"/>
          <w:b w:val="0"/>
          <w:bCs w:val="0"/>
          <w:i w:val="0"/>
          <w:iCs w:val="0"/>
          <w:color w:val="auto"/>
          <w:sz w:val="32"/>
          <w:szCs w:val="32"/>
          <w:u w:val="none"/>
        </w:rPr>
        <w:t>，</w:t>
      </w:r>
      <w:r>
        <w:rPr>
          <w:rFonts w:hint="eastAsia" w:ascii="仿宋_GB2312" w:hAnsi="仿宋_GB2312" w:eastAsia="仿宋_GB2312" w:cs="仿宋_GB2312"/>
          <w:b w:val="0"/>
          <w:bCs w:val="0"/>
          <w:i w:val="0"/>
          <w:iCs w:val="0"/>
          <w:color w:val="auto"/>
          <w:sz w:val="32"/>
          <w:szCs w:val="32"/>
          <w:u w:val="none"/>
          <w:lang w:eastAsia="zh-CN"/>
        </w:rPr>
        <w:t>结合曾都实际，</w:t>
      </w:r>
      <w:r>
        <w:rPr>
          <w:rFonts w:hint="eastAsia" w:ascii="仿宋_GB2312" w:hAnsi="仿宋_GB2312" w:eastAsia="仿宋_GB2312" w:cs="仿宋_GB2312"/>
          <w:b w:val="0"/>
          <w:bCs w:val="0"/>
          <w:i w:val="0"/>
          <w:iCs w:val="0"/>
          <w:color w:val="auto"/>
          <w:sz w:val="32"/>
          <w:szCs w:val="32"/>
          <w:u w:val="none"/>
        </w:rPr>
        <w:t>制定本计划。</w:t>
      </w:r>
    </w:p>
    <w:p w14:paraId="1CF7AA9D">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楷体_GB2312" w:hAnsi="楷体" w:eastAsia="楷体_GB2312" w:cs="楷体_GB2312"/>
          <w:color w:val="auto"/>
          <w:sz w:val="32"/>
          <w:szCs w:val="32"/>
          <w:lang w:eastAsia="zh-CN"/>
        </w:rPr>
      </w:pPr>
      <w:r>
        <w:rPr>
          <w:rFonts w:hint="eastAsia" w:ascii="楷体_GB2312" w:hAnsi="楷体" w:eastAsia="楷体_GB2312" w:cs="楷体_GB2312"/>
          <w:color w:val="auto"/>
          <w:sz w:val="32"/>
          <w:szCs w:val="32"/>
          <w:lang w:eastAsia="zh-CN"/>
        </w:rPr>
        <w:t>（一）财政审计</w:t>
      </w:r>
    </w:p>
    <w:p w14:paraId="3C865D8A">
      <w:pPr>
        <w:keepNext w:val="0"/>
        <w:keepLines w:val="0"/>
        <w:pageBreakBefore w:val="0"/>
        <w:widowControl w:val="0"/>
        <w:kinsoku/>
        <w:wordWrap/>
        <w:overflowPunct/>
        <w:topLinePunct/>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1.区本级2025年度预算执行及决算草案审计</w:t>
      </w:r>
    </w:p>
    <w:p w14:paraId="19FEC2C4">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u w:val="none"/>
          <w:lang w:val="zh-CN" w:eastAsia="zh-CN" w:bidi="ar-SA"/>
        </w:rPr>
      </w:pPr>
      <w:r>
        <w:rPr>
          <w:rFonts w:hint="eastAsia" w:ascii="仿宋_GB2312" w:hAnsi="仿宋_GB2312" w:eastAsia="仿宋_GB2312" w:cs="仿宋_GB2312"/>
          <w:b w:val="0"/>
          <w:bCs w:val="0"/>
          <w:i w:val="0"/>
          <w:iCs w:val="0"/>
          <w:color w:val="auto"/>
          <w:kern w:val="2"/>
          <w:sz w:val="32"/>
          <w:szCs w:val="32"/>
          <w:u w:val="none"/>
          <w:lang w:val="zh-CN" w:eastAsia="zh-CN" w:bidi="ar-SA"/>
        </w:rPr>
        <w:t>【目标和重点】以促进财政资金规范高效使用为目标，重点关注区本级财政运行和财政资源统筹、预算编制的科学性精准性、预算执行的刚性约束、转移支付管理使用和风险控制、预算项目和专项资金绩效管理、政府债务管控及以前年度审计查出问题整改等情况。</w:t>
      </w:r>
    </w:p>
    <w:p w14:paraId="61D6A669">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w:t>
      </w:r>
      <w:r>
        <w:rPr>
          <w:rFonts w:hint="eastAsia" w:ascii="仿宋_GB2312" w:hAnsi="仿宋_GB2312" w:eastAsia="仿宋_GB2312" w:cs="仿宋_GB2312"/>
          <w:color w:val="auto"/>
          <w:sz w:val="32"/>
          <w:szCs w:val="32"/>
          <w:shd w:val="clear" w:color="auto" w:fill="FFFFFF"/>
        </w:rPr>
        <w:t>“同级审”，</w:t>
      </w:r>
      <w:r>
        <w:rPr>
          <w:rFonts w:hint="eastAsia" w:ascii="仿宋_GB2312" w:hAnsi="仿宋_GB2312" w:eastAsia="仿宋_GB2312" w:cs="仿宋_GB2312"/>
          <w:color w:val="auto"/>
          <w:sz w:val="32"/>
          <w:szCs w:val="32"/>
          <w:shd w:val="clear" w:color="auto" w:fill="FFFFFF"/>
          <w:lang w:eastAsia="zh-CN"/>
        </w:rPr>
        <w:t>区审计局</w:t>
      </w:r>
      <w:r>
        <w:rPr>
          <w:rFonts w:hint="eastAsia" w:ascii="仿宋_GB2312" w:eastAsia="仿宋_GB2312"/>
          <w:color w:val="auto"/>
          <w:sz w:val="32"/>
          <w:szCs w:val="32"/>
          <w:lang w:eastAsia="zh-CN"/>
        </w:rPr>
        <w:t>组织实施，审计结果纳入向区人大常委会报告的《关于2025年度区级预算执行及其他财政收支的审计工作报告》。</w:t>
      </w:r>
    </w:p>
    <w:p w14:paraId="0039FF65">
      <w:pPr>
        <w:keepNext w:val="0"/>
        <w:keepLines w:val="0"/>
        <w:pageBreakBefore w:val="0"/>
        <w:widowControl w:val="0"/>
        <w:kinsoku/>
        <w:wordWrap/>
        <w:overflowPunct/>
        <w:topLinePunct/>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2.区直部门预算执行及其他财政收支情况审计</w:t>
      </w:r>
    </w:p>
    <w:p w14:paraId="7A8768A5">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u w:val="none"/>
          <w:lang w:val="zh-CN" w:eastAsia="zh-CN" w:bidi="ar-SA"/>
        </w:rPr>
      </w:pPr>
      <w:r>
        <w:rPr>
          <w:rFonts w:hint="eastAsia" w:ascii="仿宋_GB2312" w:hAnsi="仿宋_GB2312" w:eastAsia="仿宋_GB2312" w:cs="仿宋_GB2312"/>
          <w:b w:val="0"/>
          <w:bCs w:val="0"/>
          <w:i w:val="0"/>
          <w:iCs w:val="0"/>
          <w:color w:val="auto"/>
          <w:kern w:val="2"/>
          <w:sz w:val="32"/>
          <w:szCs w:val="32"/>
          <w:u w:val="none"/>
          <w:lang w:val="zh-CN" w:eastAsia="zh-CN" w:bidi="ar-SA"/>
        </w:rPr>
        <w:t>【目标和重点】以强化预算约束、提升财政资金绩效、促进完善内部控制和预算管理制度为目标，重点关注部门编制预算的科学性精准性、预算执行的刚性约束、预算与部门职责的衔接匹配、财政资源统筹管理使用、落实“过紧日子”要求、项目绩效管理、部门主导专项资金分配使用及以前年度审计查出问题整改等情况。</w:t>
      </w:r>
    </w:p>
    <w:p w14:paraId="06FD2578">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Times New Roman" w:eastAsia="仿宋_GB2312" w:cs="Times New Roman"/>
          <w:color w:val="auto"/>
          <w:sz w:val="32"/>
          <w:szCs w:val="32"/>
          <w:lang w:eastAsia="zh-CN"/>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w:t>
      </w:r>
      <w:r>
        <w:rPr>
          <w:rFonts w:hint="eastAsia" w:ascii="仿宋_GB2312" w:hAnsi="仿宋_GB2312" w:eastAsia="仿宋_GB2312" w:cs="仿宋_GB2312"/>
          <w:color w:val="auto"/>
          <w:sz w:val="32"/>
          <w:szCs w:val="32"/>
          <w:shd w:val="clear" w:color="auto" w:fill="FFFFFF"/>
        </w:rPr>
        <w:t>“同级审”，</w:t>
      </w:r>
      <w:r>
        <w:rPr>
          <w:rFonts w:hint="eastAsia" w:ascii="仿宋_GB2312" w:hAnsi="仿宋_GB2312" w:eastAsia="仿宋_GB2312" w:cs="仿宋_GB2312"/>
          <w:color w:val="auto"/>
          <w:sz w:val="32"/>
          <w:szCs w:val="32"/>
          <w:shd w:val="clear" w:color="auto" w:fill="FFFFFF"/>
          <w:lang w:eastAsia="zh-CN"/>
        </w:rPr>
        <w:t>区审计局组织实施，</w:t>
      </w:r>
      <w:r>
        <w:rPr>
          <w:rFonts w:hint="eastAsia" w:ascii="仿宋_GB2312" w:hAnsi="仿宋_GB2312" w:eastAsia="仿宋_GB2312" w:cs="仿宋_GB2312"/>
          <w:color w:val="auto"/>
          <w:sz w:val="32"/>
          <w:szCs w:val="32"/>
          <w:lang w:eastAsia="zh-CN"/>
        </w:rPr>
        <w:t>区住房和城乡建设局</w:t>
      </w:r>
      <w:r>
        <w:rPr>
          <w:rFonts w:hint="eastAsia" w:ascii="仿宋_GB2312" w:hAnsi="仿宋_GB2312" w:eastAsia="仿宋_GB2312" w:cs="仿宋_GB2312"/>
          <w:color w:val="auto"/>
          <w:sz w:val="32"/>
          <w:szCs w:val="32"/>
          <w:lang w:val="en-US" w:eastAsia="zh-CN"/>
        </w:rPr>
        <w:t>、区卫生健康局、</w:t>
      </w:r>
      <w:r>
        <w:rPr>
          <w:rFonts w:hint="eastAsia" w:ascii="仿宋_GB2312" w:hAnsi="仿宋_GB2312" w:eastAsia="仿宋_GB2312" w:cs="仿宋_GB2312"/>
          <w:color w:val="auto"/>
          <w:sz w:val="32"/>
          <w:szCs w:val="32"/>
        </w:rPr>
        <w:t>区</w:t>
      </w:r>
      <w:r>
        <w:rPr>
          <w:rFonts w:hint="eastAsia" w:ascii="仿宋_GB2312" w:hAnsi="仿宋_GB2312" w:eastAsia="仿宋_GB2312" w:cs="仿宋_GB2312"/>
          <w:color w:val="auto"/>
          <w:sz w:val="32"/>
          <w:szCs w:val="32"/>
          <w:lang w:eastAsia="zh-CN"/>
        </w:rPr>
        <w:t>城市管理执法</w:t>
      </w:r>
      <w:r>
        <w:rPr>
          <w:rFonts w:hint="eastAsia" w:ascii="仿宋_GB2312" w:hAnsi="仿宋_GB2312" w:eastAsia="仿宋_GB2312" w:cs="仿宋_GB2312"/>
          <w:color w:val="auto"/>
          <w:sz w:val="32"/>
          <w:szCs w:val="32"/>
          <w:lang w:val="en-US" w:eastAsia="zh-CN"/>
        </w:rPr>
        <w:t>局、区民政局、区财政局</w:t>
      </w:r>
      <w:r>
        <w:rPr>
          <w:rFonts w:hint="eastAsia" w:ascii="仿宋_GB2312" w:hAnsi="仿宋_GB2312" w:eastAsia="仿宋_GB2312" w:cs="仿宋_GB2312"/>
          <w:color w:val="auto"/>
          <w:sz w:val="32"/>
          <w:szCs w:val="32"/>
          <w:shd w:val="clear" w:color="auto" w:fill="FFFFFF"/>
          <w:lang w:eastAsia="zh-CN"/>
        </w:rPr>
        <w:t>等</w:t>
      </w:r>
      <w:r>
        <w:rPr>
          <w:rFonts w:hint="eastAsia" w:ascii="仿宋_GB2312" w:hAnsi="仿宋_GB2312" w:eastAsia="仿宋_GB2312" w:cs="仿宋_GB2312"/>
          <w:color w:val="auto"/>
          <w:sz w:val="32"/>
          <w:szCs w:val="32"/>
          <w:shd w:val="clear" w:color="auto" w:fill="FFFFFF"/>
          <w:lang w:val="en-US" w:eastAsia="zh-CN"/>
        </w:rPr>
        <w:t>5个单位</w:t>
      </w:r>
      <w:r>
        <w:rPr>
          <w:rFonts w:hint="eastAsia" w:ascii="仿宋_GB2312" w:hAnsi="仿宋_GB2312" w:eastAsia="仿宋_GB2312" w:cs="仿宋_GB2312"/>
          <w:b w:val="0"/>
          <w:bCs w:val="0"/>
          <w:i w:val="0"/>
          <w:iCs w:val="0"/>
          <w:color w:val="auto"/>
          <w:kern w:val="2"/>
          <w:sz w:val="32"/>
          <w:szCs w:val="32"/>
          <w:u w:val="none"/>
          <w:lang w:val="en-US" w:eastAsia="zh-CN" w:bidi="ar-SA"/>
        </w:rPr>
        <w:t>开展审计，审计结果纳入向区人大常委会报告的《关于2025年度区级预算执行及其他财政收支的审计工作报告》</w:t>
      </w:r>
      <w:r>
        <w:rPr>
          <w:rFonts w:hint="eastAsia" w:ascii="仿宋_GB2312" w:hAnsi="Times New Roman" w:eastAsia="仿宋_GB2312" w:cs="Times New Roman"/>
          <w:color w:val="auto"/>
          <w:sz w:val="32"/>
          <w:szCs w:val="32"/>
          <w:lang w:val="en-US" w:eastAsia="zh-CN"/>
        </w:rPr>
        <w:t>。</w:t>
      </w:r>
    </w:p>
    <w:p w14:paraId="7311D511">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楷体_GB2312" w:hAnsi="楷体" w:eastAsia="楷体_GB2312" w:cs="楷体_GB2312"/>
          <w:color w:val="auto"/>
          <w:sz w:val="32"/>
          <w:szCs w:val="32"/>
          <w:lang w:val="en-US" w:eastAsia="zh-CN"/>
        </w:rPr>
      </w:pPr>
      <w:r>
        <w:rPr>
          <w:rFonts w:hint="eastAsia" w:ascii="楷体_GB2312" w:hAnsi="楷体" w:eastAsia="楷体_GB2312" w:cs="楷体_GB2312"/>
          <w:color w:val="auto"/>
          <w:sz w:val="32"/>
          <w:szCs w:val="32"/>
          <w:lang w:val="en-US" w:eastAsia="zh-CN"/>
        </w:rPr>
        <w:t>（二）经济责任审计</w:t>
      </w:r>
    </w:p>
    <w:p w14:paraId="07F95F05">
      <w:pPr>
        <w:keepNext w:val="0"/>
        <w:keepLines w:val="0"/>
        <w:pageBreakBefore w:val="0"/>
        <w:widowControl w:val="0"/>
        <w:kinsoku/>
        <w:wordWrap/>
        <w:overflowPunct/>
        <w:topLinePunct/>
        <w:autoSpaceDE/>
        <w:autoSpaceDN/>
        <w:bidi w:val="0"/>
        <w:adjustRightInd/>
        <w:spacing w:line="579" w:lineRule="exact"/>
        <w:ind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3.领导干部经济责任审计</w:t>
      </w:r>
    </w:p>
    <w:p w14:paraId="1CB14B8B">
      <w:pPr>
        <w:keepNext w:val="0"/>
        <w:keepLines w:val="0"/>
        <w:pageBreakBefore w:val="0"/>
        <w:widowControl w:val="0"/>
        <w:kinsoku/>
        <w:wordWrap/>
        <w:overflowPunct/>
        <w:topLinePunct/>
        <w:autoSpaceDE/>
        <w:autoSpaceDN/>
        <w:bidi w:val="0"/>
        <w:adjustRightInd/>
        <w:snapToGrid w:val="0"/>
        <w:spacing w:before="0" w:line="579" w:lineRule="exact"/>
        <w:ind w:right="0" w:rightChars="0" w:firstLine="640" w:firstLineChars="200"/>
        <w:jc w:val="both"/>
        <w:textAlignment w:val="auto"/>
        <w:outlineLvl w:val="9"/>
        <w:rPr>
          <w:rFonts w:hint="eastAsia" w:ascii="仿宋_GB2312" w:hAnsi="仿宋_GB2312" w:eastAsia="仿宋_GB2312" w:cs="仿宋_GB2312"/>
          <w:b w:val="0"/>
          <w:bCs w:val="0"/>
          <w:i w:val="0"/>
          <w:iCs w:val="0"/>
          <w:color w:val="auto"/>
          <w:kern w:val="2"/>
          <w:sz w:val="32"/>
          <w:szCs w:val="32"/>
          <w:u w:val="none"/>
          <w:lang w:val="zh-CN" w:eastAsia="zh-CN" w:bidi="ar-SA"/>
        </w:rPr>
      </w:pPr>
      <w:r>
        <w:rPr>
          <w:rFonts w:hint="eastAsia" w:ascii="仿宋_GB2312" w:hAnsi="仿宋_GB2312" w:eastAsia="仿宋_GB2312" w:cs="仿宋_GB2312"/>
          <w:b w:val="0"/>
          <w:bCs w:val="0"/>
          <w:i w:val="0"/>
          <w:iCs w:val="0"/>
          <w:color w:val="auto"/>
          <w:kern w:val="2"/>
          <w:sz w:val="32"/>
          <w:szCs w:val="32"/>
          <w:u w:val="none"/>
          <w:lang w:val="zh-CN" w:eastAsia="zh-CN" w:bidi="ar-SA"/>
        </w:rPr>
        <w:t>【目标和重点】以客观评价领导干部任期履职业绩，强化干部监督管理，促进权力规范运行为目标，重点关注领导干部重大经济方针政策落实及行业重要发展规划执行、重要经济决策程序及执行、内部管控和财政财务收支管理、落实有关党风廉政建设责任制、遵守廉洁自律规定及以往年度审计发现问题整改等情况。</w:t>
      </w:r>
    </w:p>
    <w:p w14:paraId="4C6E03BF">
      <w:pPr>
        <w:keepNext w:val="0"/>
        <w:keepLines w:val="0"/>
        <w:pageBreakBefore w:val="0"/>
        <w:widowControl w:val="0"/>
        <w:kinsoku/>
        <w:wordWrap/>
        <w:overflowPunct/>
        <w:topLinePunct/>
        <w:autoSpaceDE/>
        <w:autoSpaceDN/>
        <w:bidi w:val="0"/>
        <w:adjustRightInd/>
        <w:snapToGrid w:val="0"/>
        <w:spacing w:before="0" w:line="579" w:lineRule="exact"/>
        <w:ind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【组织方式】“同级审”，区审计局组织实施，</w:t>
      </w:r>
      <w:r>
        <w:rPr>
          <w:rFonts w:hint="eastAsia" w:ascii="仿宋_GB2312" w:hAnsi="仿宋_GB2312" w:eastAsia="仿宋_GB2312" w:cs="仿宋_GB2312"/>
          <w:color w:val="auto"/>
          <w:sz w:val="32"/>
          <w:szCs w:val="32"/>
        </w:rPr>
        <w:t>对万店镇、府河镇、涢水街道办事处、区委编办、</w:t>
      </w:r>
      <w:r>
        <w:rPr>
          <w:rFonts w:hint="eastAsia" w:ascii="仿宋_GB2312" w:hAnsi="仿宋_GB2312" w:eastAsia="仿宋_GB2312" w:cs="仿宋_GB2312"/>
          <w:color w:val="auto"/>
          <w:sz w:val="32"/>
          <w:szCs w:val="32"/>
          <w:lang w:eastAsia="zh-CN"/>
        </w:rPr>
        <w:t>区财政局、</w:t>
      </w:r>
      <w:r>
        <w:rPr>
          <w:rFonts w:hint="eastAsia" w:ascii="仿宋_GB2312" w:hAnsi="仿宋_GB2312" w:eastAsia="仿宋_GB2312" w:cs="仿宋_GB2312"/>
          <w:color w:val="auto"/>
          <w:sz w:val="32"/>
          <w:szCs w:val="32"/>
        </w:rPr>
        <w:t>区住房和城乡建设局、区退役军人事务局、区</w:t>
      </w:r>
      <w:r>
        <w:rPr>
          <w:rFonts w:hint="eastAsia" w:ascii="仿宋_GB2312" w:hAnsi="仿宋_GB2312" w:eastAsia="仿宋_GB2312" w:cs="仿宋_GB2312"/>
          <w:color w:val="auto"/>
          <w:sz w:val="32"/>
          <w:szCs w:val="32"/>
          <w:lang w:eastAsia="zh-CN"/>
        </w:rPr>
        <w:t>城市</w:t>
      </w:r>
      <w:r>
        <w:rPr>
          <w:rFonts w:hint="eastAsia" w:ascii="仿宋_GB2312" w:hAnsi="仿宋_GB2312" w:eastAsia="仿宋_GB2312" w:cs="仿宋_GB2312"/>
          <w:color w:val="auto"/>
          <w:sz w:val="32"/>
          <w:szCs w:val="32"/>
        </w:rPr>
        <w:t>管理执法局、</w:t>
      </w:r>
      <w:r>
        <w:rPr>
          <w:rFonts w:hint="eastAsia" w:ascii="仿宋_GB2312" w:hAnsi="仿宋_GB2312" w:eastAsia="仿宋_GB2312" w:cs="仿宋_GB2312"/>
          <w:color w:val="auto"/>
          <w:sz w:val="32"/>
          <w:szCs w:val="32"/>
          <w:lang w:eastAsia="zh-CN"/>
        </w:rPr>
        <w:t>区林业局、</w:t>
      </w:r>
      <w:r>
        <w:rPr>
          <w:rFonts w:hint="eastAsia" w:ascii="仿宋_GB2312" w:hAnsi="仿宋_GB2312" w:eastAsia="仿宋_GB2312" w:cs="仿宋_GB2312"/>
          <w:color w:val="auto"/>
          <w:sz w:val="32"/>
          <w:szCs w:val="32"/>
        </w:rPr>
        <w:t>区科学技术协会、</w:t>
      </w:r>
      <w:r>
        <w:rPr>
          <w:rFonts w:hint="eastAsia" w:ascii="仿宋_GB2312" w:hAnsi="仿宋_GB2312" w:eastAsia="仿宋_GB2312" w:cs="仿宋_GB2312"/>
          <w:color w:val="auto"/>
          <w:sz w:val="32"/>
          <w:szCs w:val="32"/>
          <w:lang w:val="en-US" w:eastAsia="zh-CN"/>
        </w:rPr>
        <w:t>曾</w:t>
      </w:r>
      <w:r>
        <w:rPr>
          <w:rFonts w:hint="eastAsia" w:ascii="仿宋_GB2312" w:hAnsi="仿宋_GB2312" w:eastAsia="仿宋_GB2312" w:cs="仿宋_GB2312"/>
          <w:color w:val="auto"/>
          <w:sz w:val="32"/>
          <w:szCs w:val="32"/>
        </w:rPr>
        <w:t>都区人民医院等1</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个单位1</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名领导干部开展经济责任审计。8月份以前的审计结果纳入向</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人大常委会报告的《关于2025年度</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级预算执行及其他财政收支的审计工作报告》。</w:t>
      </w:r>
    </w:p>
    <w:p w14:paraId="1C91E4FF">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楷体_GB2312" w:hAnsi="楷体" w:eastAsia="楷体_GB2312" w:cs="楷体_GB2312"/>
          <w:color w:val="auto"/>
          <w:sz w:val="32"/>
          <w:szCs w:val="32"/>
          <w:lang w:val="en-US" w:eastAsia="zh-CN"/>
        </w:rPr>
      </w:pPr>
      <w:r>
        <w:rPr>
          <w:rFonts w:hint="eastAsia" w:ascii="楷体_GB2312" w:hAnsi="楷体" w:eastAsia="楷体_GB2312" w:cs="楷体_GB2312"/>
          <w:color w:val="auto"/>
          <w:sz w:val="32"/>
          <w:szCs w:val="32"/>
          <w:lang w:val="en-US" w:eastAsia="zh-CN"/>
        </w:rPr>
        <w:t>（三）自然资源资产审计</w:t>
      </w:r>
    </w:p>
    <w:p w14:paraId="7D732BB2">
      <w:pPr>
        <w:keepNext w:val="0"/>
        <w:keepLines w:val="0"/>
        <w:pageBreakBefore w:val="0"/>
        <w:widowControl w:val="0"/>
        <w:kinsoku/>
        <w:wordWrap/>
        <w:overflowPunct/>
        <w:topLinePunct/>
        <w:autoSpaceDE/>
        <w:autoSpaceDN/>
        <w:bidi w:val="0"/>
        <w:adjustRightInd/>
        <w:snapToGrid w:val="0"/>
        <w:spacing w:before="0" w:line="579"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4.自然资源资产离任（任中）审计</w:t>
      </w:r>
    </w:p>
    <w:p w14:paraId="3ED0B38D">
      <w:pPr>
        <w:keepNext w:val="0"/>
        <w:keepLines w:val="0"/>
        <w:pageBreakBefore w:val="0"/>
        <w:widowControl w:val="0"/>
        <w:kinsoku/>
        <w:wordWrap/>
        <w:overflowPunct/>
        <w:topLinePunct/>
        <w:autoSpaceDE/>
        <w:autoSpaceDN/>
        <w:bidi w:val="0"/>
        <w:adjustRightIn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val="zh-CN" w:eastAsia="zh-CN"/>
        </w:rPr>
      </w:pPr>
      <w:r>
        <w:rPr>
          <w:rFonts w:hint="eastAsia" w:ascii="仿宋_GB2312" w:hAnsi="仿宋_GB2312" w:eastAsia="仿宋_GB2312" w:cs="仿宋_GB2312"/>
          <w:b w:val="0"/>
          <w:bCs w:val="0"/>
          <w:i w:val="0"/>
          <w:iCs w:val="0"/>
          <w:color w:val="auto"/>
          <w:sz w:val="32"/>
          <w:szCs w:val="32"/>
          <w:u w:val="none"/>
          <w:lang w:val="zh-CN" w:eastAsia="zh-CN"/>
        </w:rPr>
        <w:t>【目标和重点】以促进领导干部树立正确的政绩观、生态观、发展观，贯彻执行自然资源资产管理和生态环境保护方针政策及法律法规为目标，重点关注资源环境相关决策与监管职能履行情况，资源环境约束性指标完成情况，自然资源开发利用与生态保护修复情况和资源环境相关资金项目管理绩效情况。</w:t>
      </w:r>
    </w:p>
    <w:p w14:paraId="699FDD0D">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val="0"/>
          <w:bCs w:val="0"/>
          <w:i w:val="0"/>
          <w:iCs w:val="0"/>
          <w:color w:val="auto"/>
          <w:sz w:val="32"/>
          <w:szCs w:val="32"/>
          <w:u w:val="none"/>
          <w:lang w:val="zh-CN" w:eastAsia="zh-CN"/>
        </w:rPr>
        <w:t>【组织方式】</w:t>
      </w:r>
      <w:r>
        <w:rPr>
          <w:rFonts w:hint="eastAsia" w:ascii="仿宋_GB2312" w:hAnsi="仿宋_GB2312" w:eastAsia="仿宋_GB2312" w:cs="仿宋_GB2312"/>
          <w:b w:val="0"/>
          <w:bCs w:val="0"/>
          <w:i w:val="0"/>
          <w:iCs w:val="0"/>
          <w:color w:val="auto"/>
          <w:kern w:val="2"/>
          <w:sz w:val="32"/>
          <w:szCs w:val="32"/>
          <w:u w:val="none"/>
          <w:lang w:val="en-US" w:eastAsia="zh-CN" w:bidi="ar-SA"/>
        </w:rPr>
        <w:t>“同级审”，区审计局组织实施。</w:t>
      </w:r>
      <w:r>
        <w:rPr>
          <w:rFonts w:hint="eastAsia" w:ascii="仿宋_GB2312" w:hAnsi="仿宋_GB2312" w:eastAsia="仿宋_GB2312" w:cs="仿宋_GB2312"/>
          <w:bCs/>
          <w:color w:val="auto"/>
          <w:sz w:val="32"/>
          <w:szCs w:val="32"/>
          <w:shd w:val="clear" w:color="auto" w:fill="FFFFFF"/>
        </w:rPr>
        <w:t>结合领导干部经济责任审计项目，对</w:t>
      </w:r>
      <w:r>
        <w:rPr>
          <w:rFonts w:hint="eastAsia" w:ascii="仿宋_GB2312" w:hAnsi="仿宋_GB2312" w:eastAsia="仿宋_GB2312" w:cs="仿宋_GB2312"/>
          <w:bCs/>
          <w:color w:val="auto"/>
          <w:sz w:val="32"/>
          <w:szCs w:val="32"/>
          <w:shd w:val="clear" w:color="auto" w:fill="FFFFFF"/>
          <w:lang w:eastAsia="zh-CN"/>
        </w:rPr>
        <w:t>万店</w:t>
      </w:r>
      <w:r>
        <w:rPr>
          <w:rFonts w:hint="eastAsia" w:ascii="仿宋_GB2312" w:hAnsi="仿宋_GB2312" w:eastAsia="仿宋_GB2312" w:cs="仿宋_GB2312"/>
          <w:bCs/>
          <w:color w:val="auto"/>
          <w:sz w:val="32"/>
          <w:szCs w:val="32"/>
          <w:lang w:eastAsia="zh-CN"/>
        </w:rPr>
        <w:t>镇、涢水街道办事处</w:t>
      </w:r>
      <w:r>
        <w:rPr>
          <w:rFonts w:hint="eastAsia" w:ascii="仿宋_GB2312" w:hAnsi="仿宋_GB2312" w:eastAsia="仿宋_GB2312" w:cs="仿宋_GB2312"/>
          <w:bCs/>
          <w:color w:val="auto"/>
          <w:sz w:val="32"/>
          <w:szCs w:val="32"/>
          <w:shd w:val="clear" w:color="auto" w:fill="FFFFFF"/>
        </w:rPr>
        <w:t>同步实施自然资源资产审计</w:t>
      </w:r>
      <w:r>
        <w:rPr>
          <w:rFonts w:hint="eastAsia" w:ascii="仿宋_GB2312" w:hAnsi="仿宋_GB2312" w:eastAsia="仿宋_GB2312" w:cs="仿宋_GB2312"/>
          <w:bCs/>
          <w:color w:val="auto"/>
          <w:sz w:val="32"/>
          <w:szCs w:val="32"/>
          <w:shd w:val="clear" w:color="auto" w:fill="FFFFFF"/>
          <w:lang w:eastAsia="zh-CN"/>
        </w:rPr>
        <w:t>。8月份以前的审计结果纳入向区人大常委会报告的《关于2025年度区级预算执行及其他财政收支的审计工作报告》</w:t>
      </w:r>
      <w:r>
        <w:rPr>
          <w:rFonts w:hint="eastAsia" w:ascii="仿宋_GB2312" w:hAnsi="仿宋_GB2312" w:eastAsia="仿宋_GB2312" w:cs="仿宋_GB2312"/>
          <w:bCs/>
          <w:color w:val="auto"/>
          <w:sz w:val="32"/>
          <w:szCs w:val="32"/>
          <w:shd w:val="clear" w:color="auto" w:fill="FFFFFF"/>
        </w:rPr>
        <w:t>。</w:t>
      </w:r>
    </w:p>
    <w:p w14:paraId="318F189D">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 w:eastAsia="楷体_GB2312" w:cs="楷体_GB2312"/>
          <w:color w:val="auto"/>
          <w:sz w:val="32"/>
          <w:szCs w:val="32"/>
          <w:lang w:val="en-US" w:eastAsia="zh-CN"/>
        </w:rPr>
        <w:t>（四）政府投资项目审计</w:t>
      </w:r>
    </w:p>
    <w:p w14:paraId="1C3067EA">
      <w:pPr>
        <w:keepNext w:val="0"/>
        <w:keepLines w:val="0"/>
        <w:pageBreakBefore w:val="0"/>
        <w:widowControl w:val="0"/>
        <w:kinsoku/>
        <w:wordWrap/>
        <w:overflowPunct/>
        <w:topLinePunct/>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5.固定资产投资项目审计</w:t>
      </w:r>
    </w:p>
    <w:p w14:paraId="4722836D">
      <w:pPr>
        <w:keepNext w:val="0"/>
        <w:keepLines w:val="0"/>
        <w:pageBreakBefore w:val="0"/>
        <w:widowControl w:val="0"/>
        <w:kinsoku/>
        <w:wordWrap/>
        <w:overflowPunct/>
        <w:topLinePunct/>
        <w:autoSpaceDE/>
        <w:autoSpaceDN/>
        <w:bidi w:val="0"/>
        <w:adjustRightInd/>
        <w:spacing w:line="579" w:lineRule="exact"/>
        <w:ind w:right="0" w:rightChars="0" w:firstLine="640" w:firstLineChars="200"/>
        <w:jc w:val="both"/>
        <w:textAlignment w:val="auto"/>
        <w:outlineLvl w:val="9"/>
        <w:rPr>
          <w:rFonts w:hint="eastAsia" w:eastAsia="仿宋_GB2312"/>
          <w:color w:val="auto"/>
          <w:sz w:val="32"/>
          <w:szCs w:val="32"/>
          <w:lang w:eastAsia="zh-CN"/>
        </w:rPr>
      </w:pPr>
      <w:r>
        <w:rPr>
          <w:rFonts w:hint="eastAsia" w:ascii="仿宋_GB2312" w:hAnsi="仿宋_GB2312" w:eastAsia="仿宋_GB2312" w:cs="仿宋_GB2312"/>
          <w:b w:val="0"/>
          <w:bCs w:val="0"/>
          <w:i w:val="0"/>
          <w:iCs w:val="0"/>
          <w:color w:val="auto"/>
          <w:sz w:val="32"/>
          <w:szCs w:val="32"/>
          <w:u w:val="none"/>
          <w:lang w:val="zh-CN" w:eastAsia="zh-CN"/>
        </w:rPr>
        <w:t>【目标和重点】以推动项目规范管理，扩大有效投资，提高投资效益为目标，重点关注投资项目政策落实、建设规划、招标投标、合同签订及履行、资金使用及管理、工程造价控制、“两算”进度、投资绩效等情况，促进节约政府建设资金，提高投资绩效。</w:t>
      </w:r>
    </w:p>
    <w:p w14:paraId="1F215050">
      <w:pPr>
        <w:keepNext w:val="0"/>
        <w:keepLines w:val="0"/>
        <w:pageBreakBefore w:val="0"/>
        <w:widowControl w:val="0"/>
        <w:kinsoku/>
        <w:wordWrap/>
        <w:overflowPunct/>
        <w:topLinePunct/>
        <w:autoSpaceDE/>
        <w:autoSpaceDN/>
        <w:bidi w:val="0"/>
        <w:adjustRightInd/>
        <w:spacing w:line="579" w:lineRule="exact"/>
        <w:ind w:right="0" w:rightChars="0" w:firstLine="640" w:firstLineChars="200"/>
        <w:jc w:val="both"/>
        <w:textAlignment w:val="auto"/>
        <w:outlineLvl w:val="9"/>
        <w:rPr>
          <w:rFonts w:hint="eastAsia" w:ascii="仿宋_GB2312" w:hAnsi="仿宋" w:eastAsia="仿宋_GB2312"/>
          <w:color w:val="auto"/>
          <w:sz w:val="32"/>
          <w:szCs w:val="32"/>
          <w:lang w:eastAsia="zh-CN"/>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【组织方式】“同级审”，区审计局组织实施，</w:t>
      </w:r>
      <w:r>
        <w:rPr>
          <w:rFonts w:hint="eastAsia" w:ascii="仿宋_GB2312" w:hAnsi="仿宋" w:eastAsia="仿宋_GB2312"/>
          <w:color w:val="auto"/>
          <w:sz w:val="32"/>
          <w:szCs w:val="32"/>
          <w:lang w:eastAsia="zh-CN"/>
        </w:rPr>
        <w:t>一是对</w:t>
      </w:r>
      <w:r>
        <w:rPr>
          <w:rFonts w:hint="eastAsia" w:ascii="仿宋_GB2312" w:hAnsi="仿宋" w:eastAsia="仿宋_GB2312"/>
          <w:color w:val="auto"/>
          <w:sz w:val="32"/>
          <w:szCs w:val="32"/>
        </w:rPr>
        <w:t>随州市城北片区合溪河排水明渠（随州大道-锦程路）建设</w:t>
      </w:r>
      <w:r>
        <w:rPr>
          <w:rFonts w:hint="eastAsia" w:ascii="仿宋_GB2312" w:hAnsi="仿宋" w:eastAsia="仿宋_GB2312"/>
          <w:color w:val="auto"/>
          <w:sz w:val="32"/>
          <w:szCs w:val="32"/>
          <w:lang w:eastAsia="zh-CN"/>
        </w:rPr>
        <w:t>、随州市曾都区星光二路（随州大道-裕民大道）建设、随州市何店高质量发展示范区循环道路建设、随州市曾都区孔家坡棚户区改造配套孔家坡七里塘路基础设施建设、周家寨一路延伸（烟花路-明珠东路）建设</w:t>
      </w:r>
      <w:r>
        <w:rPr>
          <w:rFonts w:hint="eastAsia" w:ascii="仿宋_GB2312" w:hAnsi="仿宋" w:eastAsia="仿宋_GB2312" w:cs="Times New Roman"/>
          <w:color w:val="auto"/>
          <w:sz w:val="32"/>
          <w:szCs w:val="32"/>
          <w:lang w:eastAsia="zh-CN"/>
        </w:rPr>
        <w:t>等</w:t>
      </w:r>
      <w:r>
        <w:rPr>
          <w:rFonts w:hint="eastAsia" w:ascii="仿宋_GB2312" w:hAnsi="仿宋" w:eastAsia="仿宋_GB2312" w:cs="Times New Roman"/>
          <w:color w:val="auto"/>
          <w:sz w:val="32"/>
          <w:szCs w:val="32"/>
          <w:lang w:val="en-US" w:eastAsia="zh-CN"/>
        </w:rPr>
        <w:t>5</w:t>
      </w:r>
      <w:r>
        <w:rPr>
          <w:rFonts w:hint="eastAsia" w:ascii="仿宋_GB2312" w:hAnsi="仿宋" w:eastAsia="仿宋_GB2312" w:cs="Times New Roman"/>
          <w:color w:val="auto"/>
          <w:sz w:val="32"/>
          <w:szCs w:val="32"/>
          <w:lang w:eastAsia="zh-CN"/>
        </w:rPr>
        <w:t>个项目进行审计;</w:t>
      </w:r>
      <w:r>
        <w:rPr>
          <w:rFonts w:hint="eastAsia" w:ascii="仿宋_GB2312" w:hAnsi="仿宋" w:eastAsia="仿宋_GB2312"/>
          <w:color w:val="auto"/>
          <w:sz w:val="32"/>
          <w:szCs w:val="32"/>
          <w:lang w:eastAsia="zh-CN"/>
        </w:rPr>
        <w:t>二是继续对㵐水河东岸生态环境提升工程PPP项目（新工一路、明珠公园、城北新区雨污水管网工程、沿河大道及沿线生态提升工程）、南郊创业孵化园建设（一期）、曾都医院综合楼及门诊楼建设、</w:t>
      </w:r>
      <w:r>
        <w:rPr>
          <w:rFonts w:hint="eastAsia" w:ascii="仿宋_GB2312" w:hAnsi="仿宋" w:eastAsia="仿宋_GB2312"/>
          <w:color w:val="auto"/>
          <w:sz w:val="32"/>
          <w:szCs w:val="32"/>
        </w:rPr>
        <w:t>万店镇乡村振兴及产城融合建设项目特色产业引进工程（一期）</w:t>
      </w:r>
      <w:r>
        <w:rPr>
          <w:rFonts w:hint="eastAsia" w:ascii="仿宋_GB2312" w:hAnsi="仿宋" w:eastAsia="仿宋_GB2312"/>
          <w:color w:val="auto"/>
          <w:sz w:val="32"/>
          <w:szCs w:val="32"/>
          <w:lang w:eastAsia="zh-CN"/>
        </w:rPr>
        <w:t>等</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lang w:eastAsia="zh-CN"/>
        </w:rPr>
        <w:t>个项目进行跟踪审计。8月份以前的审计结果纳入向区人大常委会报告的《关于2025年度区级预算执行及其他财政收支的审计工作报告》。</w:t>
      </w:r>
    </w:p>
    <w:p w14:paraId="3E5FAD50">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default" w:ascii="仿宋_GB2312" w:eastAsia="仿宋_GB2312"/>
          <w:color w:val="auto"/>
          <w:sz w:val="32"/>
          <w:szCs w:val="32"/>
          <w:lang w:val="en-US" w:eastAsia="zh-CN"/>
        </w:rPr>
      </w:pPr>
      <w:r>
        <w:rPr>
          <w:rFonts w:hint="eastAsia" w:ascii="楷体_GB2312" w:hAnsi="楷体" w:eastAsia="楷体_GB2312" w:cs="楷体_GB2312"/>
          <w:color w:val="auto"/>
          <w:sz w:val="32"/>
          <w:szCs w:val="32"/>
          <w:lang w:eastAsia="zh-CN"/>
        </w:rPr>
        <w:t>（五）专项审计（调查</w:t>
      </w:r>
      <w:r>
        <w:rPr>
          <w:rFonts w:hint="eastAsia" w:ascii="仿宋_GB2312" w:eastAsia="仿宋_GB2312"/>
          <w:color w:val="auto"/>
          <w:sz w:val="32"/>
          <w:szCs w:val="32"/>
          <w:lang w:val="en-US" w:eastAsia="zh-CN"/>
        </w:rPr>
        <w:t xml:space="preserve"> ）                                                                                                                                                                                                                                                                                                                                                                                                                                                                                                                                                                                                                                                                                                                                                                                                                                                                                                                                                                                                                                                                                                                                                                                                                                                                                                                                                                                                                                                                                                                                                         </w:t>
      </w:r>
    </w:p>
    <w:p w14:paraId="6D7B287C">
      <w:pPr>
        <w:keepNext w:val="0"/>
        <w:keepLines w:val="0"/>
        <w:pageBreakBefore w:val="0"/>
        <w:widowControl w:val="0"/>
        <w:kinsoku/>
        <w:wordWrap/>
        <w:overflowPunct/>
        <w:topLinePunct/>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6.曾都区移民后扶资金政策落实和资金管理使用情况专项审计</w:t>
      </w:r>
    </w:p>
    <w:p w14:paraId="723B1ED4">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u w:val="none"/>
          <w:lang w:val="zh-CN" w:eastAsia="zh-CN" w:bidi="ar-SA"/>
        </w:rPr>
      </w:pPr>
      <w:r>
        <w:rPr>
          <w:rFonts w:hint="eastAsia" w:ascii="仿宋_GB2312" w:hAnsi="仿宋_GB2312" w:eastAsia="仿宋_GB2312" w:cs="仿宋_GB2312"/>
          <w:b w:val="0"/>
          <w:bCs w:val="0"/>
          <w:i w:val="0"/>
          <w:iCs w:val="0"/>
          <w:color w:val="auto"/>
          <w:kern w:val="2"/>
          <w:sz w:val="32"/>
          <w:szCs w:val="32"/>
          <w:u w:val="none"/>
          <w:lang w:val="zh-CN" w:eastAsia="zh-CN" w:bidi="ar-SA"/>
        </w:rPr>
        <w:t>【目标和重点】以加强移民扶持资金监管，落实移民后扶政策，切实提高移民群众获得感和幸福感为目标，重点关注移民政策措施落实、资金分配管理及使用、项目管理及绩效、资产管理等方面，确保财政资金惠及民生。</w:t>
      </w:r>
    </w:p>
    <w:p w14:paraId="72D6319D">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w:t>
      </w:r>
      <w:r>
        <w:rPr>
          <w:rFonts w:hint="eastAsia" w:ascii="仿宋_GB2312" w:hAnsi="仿宋_GB2312" w:eastAsia="仿宋_GB2312" w:cs="仿宋_GB2312"/>
          <w:color w:val="auto"/>
          <w:sz w:val="32"/>
          <w:szCs w:val="32"/>
          <w:shd w:val="clear" w:color="auto" w:fill="FFFFFF"/>
        </w:rPr>
        <w:t>“同级审”，</w:t>
      </w:r>
      <w:r>
        <w:rPr>
          <w:rFonts w:hint="eastAsia" w:ascii="仿宋_GB2312" w:hAnsi="仿宋_GB2312" w:eastAsia="仿宋_GB2312" w:cs="仿宋_GB2312"/>
          <w:color w:val="auto"/>
          <w:sz w:val="32"/>
          <w:szCs w:val="32"/>
          <w:shd w:val="clear" w:color="auto" w:fill="FFFFFF"/>
          <w:lang w:eastAsia="zh-CN"/>
        </w:rPr>
        <w:t>根据市审计局</w:t>
      </w:r>
      <w:r>
        <w:rPr>
          <w:rFonts w:hint="eastAsia" w:ascii="仿宋_GB2312" w:hAnsi="仿宋_GB2312" w:eastAsia="仿宋_GB2312" w:cs="仿宋_GB2312"/>
          <w:b w:val="0"/>
          <w:bCs w:val="0"/>
          <w:i w:val="0"/>
          <w:iCs w:val="0"/>
          <w:color w:val="auto"/>
          <w:kern w:val="2"/>
          <w:sz w:val="32"/>
          <w:szCs w:val="32"/>
          <w:u w:val="none"/>
          <w:lang w:val="en-US" w:eastAsia="zh-CN" w:bidi="ar-SA"/>
        </w:rPr>
        <w:t>统筹安排，区审计局组织实施</w:t>
      </w:r>
      <w:r>
        <w:rPr>
          <w:rFonts w:hint="eastAsia" w:ascii="仿宋_GB2312" w:eastAsia="仿宋_GB2312"/>
          <w:color w:val="auto"/>
          <w:sz w:val="32"/>
          <w:szCs w:val="32"/>
        </w:rPr>
        <w:t>。</w:t>
      </w:r>
      <w:r>
        <w:rPr>
          <w:rFonts w:hint="eastAsia" w:ascii="仿宋_GB2312" w:hAnsi="仿宋" w:eastAsia="仿宋_GB2312"/>
          <w:color w:val="auto"/>
          <w:sz w:val="32"/>
          <w:szCs w:val="32"/>
          <w:lang w:eastAsia="zh-CN"/>
        </w:rPr>
        <w:t>审计结果纳入向区人大常委会报告的《关于2025年度区级预算执行及其他财政收支的审计工作报告》。</w:t>
      </w:r>
    </w:p>
    <w:p w14:paraId="3B11415B">
      <w:pPr>
        <w:keepNext w:val="0"/>
        <w:keepLines w:val="0"/>
        <w:pageBreakBefore w:val="0"/>
        <w:widowControl w:val="0"/>
        <w:kinsoku/>
        <w:wordWrap/>
        <w:overflowPunct/>
        <w:topLinePunct/>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7.曾都区社会救助资金专项审计调查</w:t>
      </w:r>
    </w:p>
    <w:p w14:paraId="708AE082">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目标和重点】以“应保尽保、应助尽助、应享尽享”为核心，推动社会救助政策精准落地为目标，重点关注救助政策是否按标准执行，救助对象是否精准，救助资金是否安全、规范、高效使用，揭示套取、挤占、挪用、滞留救助资金等问题，推动完善动态管理与部门协同机制，提升资金绩效，兜牢困难群众基本生活底线。</w:t>
      </w:r>
    </w:p>
    <w:p w14:paraId="7183FD2C">
      <w:pPr>
        <w:keepNext w:val="0"/>
        <w:keepLines w:val="0"/>
        <w:pageBreakBefore w:val="0"/>
        <w:widowControl w:val="0"/>
        <w:kinsoku/>
        <w:wordWrap/>
        <w:overflowPunct/>
        <w:topLinePunct/>
        <w:autoSpaceDE/>
        <w:autoSpaceDN/>
        <w:bidi w:val="0"/>
        <w:adjustRightInd/>
        <w:snapToGrid/>
        <w:spacing w:line="579" w:lineRule="exact"/>
        <w:ind w:right="0" w:rightChars="0" w:firstLine="640" w:firstLineChars="200"/>
        <w:jc w:val="both"/>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【组织方式】“同级审”，根据市审计局统筹安排，区审计局组织实施。</w:t>
      </w:r>
      <w:r>
        <w:rPr>
          <w:rFonts w:hint="eastAsia" w:ascii="仿宋_GB2312" w:hAnsi="仿宋" w:eastAsia="仿宋_GB2312"/>
          <w:color w:val="auto"/>
          <w:sz w:val="32"/>
          <w:szCs w:val="32"/>
          <w:lang w:eastAsia="zh-CN"/>
        </w:rPr>
        <w:t>审计结果纳入向区人大常委会报告的《关于2025年度区级预算执行及其他财政收支的审计工作报告》。</w:t>
      </w:r>
    </w:p>
    <w:p w14:paraId="76839245">
      <w:pPr>
        <w:keepNext w:val="0"/>
        <w:keepLines w:val="0"/>
        <w:pageBreakBefore w:val="0"/>
        <w:widowControl w:val="0"/>
        <w:kinsoku/>
        <w:wordWrap/>
        <w:overflowPunct/>
        <w:topLinePunct/>
        <w:autoSpaceDE/>
        <w:autoSpaceDN/>
        <w:bidi w:val="0"/>
        <w:adjustRightInd/>
        <w:snapToGrid/>
        <w:spacing w:line="579" w:lineRule="exact"/>
        <w:ind w:right="0" w:rightChars="0" w:firstLine="643" w:firstLineChars="200"/>
        <w:jc w:val="both"/>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b/>
          <w:bCs/>
          <w:color w:val="auto"/>
          <w:sz w:val="32"/>
          <w:szCs w:val="32"/>
          <w:lang w:val="en-US" w:eastAsia="zh-CN"/>
        </w:rPr>
        <w:t>8.曾都区网络安全和信息化建设审计</w:t>
      </w:r>
      <w:r>
        <w:rPr>
          <w:rFonts w:hint="eastAsia" w:ascii="仿宋_GB2312" w:hAnsi="仿宋_GB2312" w:eastAsia="仿宋_GB2312" w:cs="仿宋_GB2312"/>
          <w:color w:val="auto"/>
          <w:sz w:val="32"/>
          <w:szCs w:val="32"/>
          <w:shd w:val="clear" w:color="auto" w:fill="FFFFFF"/>
          <w:lang w:val="en-US" w:eastAsia="zh-CN"/>
        </w:rPr>
        <w:t xml:space="preserve"> </w:t>
      </w:r>
    </w:p>
    <w:p w14:paraId="60757DF5">
      <w:pPr>
        <w:keepNext w:val="0"/>
        <w:keepLines w:val="0"/>
        <w:pageBreakBefore w:val="0"/>
        <w:widowControl w:val="0"/>
        <w:kinsoku/>
        <w:wordWrap/>
        <w:overflowPunct/>
        <w:topLinePunct/>
        <w:autoSpaceDE/>
        <w:autoSpaceDN/>
        <w:bidi w:val="0"/>
        <w:adjustRightInd/>
        <w:snapToGrid/>
        <w:spacing w:line="579" w:lineRule="exact"/>
        <w:ind w:right="0" w:rightChars="0" w:firstLine="640" w:firstLineChars="200"/>
        <w:jc w:val="both"/>
        <w:textAlignment w:val="auto"/>
        <w:rPr>
          <w:rFonts w:hint="eastAsia" w:ascii="仿宋_GB2312" w:hAnsi="仿宋_GB2312" w:eastAsia="仿宋_GB2312" w:cs="仿宋_GB2312"/>
          <w:b w:val="0"/>
          <w:bCs w:val="0"/>
          <w:i w:val="0"/>
          <w:iCs w:val="0"/>
          <w:color w:val="auto"/>
          <w:kern w:val="2"/>
          <w:sz w:val="32"/>
          <w:szCs w:val="32"/>
          <w:u w:val="none"/>
          <w:lang w:val="zh-CN" w:eastAsia="zh-CN" w:bidi="ar-SA"/>
        </w:rPr>
      </w:pPr>
      <w:r>
        <w:rPr>
          <w:rFonts w:hint="eastAsia" w:ascii="仿宋_GB2312" w:hAnsi="仿宋_GB2312" w:eastAsia="仿宋_GB2312" w:cs="仿宋_GB2312"/>
          <w:b w:val="0"/>
          <w:bCs w:val="0"/>
          <w:i w:val="0"/>
          <w:iCs w:val="0"/>
          <w:color w:val="auto"/>
          <w:kern w:val="2"/>
          <w:sz w:val="32"/>
          <w:szCs w:val="32"/>
          <w:u w:val="none"/>
          <w:lang w:val="zh-CN" w:eastAsia="zh-CN" w:bidi="ar-SA"/>
        </w:rPr>
        <w:t>【目标和重点】以推动贯彻落实省委关于网络安全和信息化建设工作要求为目标，对全区党政机关、企事业单位、国有企业及重要行业领域2025年度网络安全和信息化建设情况实施审计，重点关注信息化工作推进、项目管理和产品采购及专项资金管理使用等情况，为全区网络安全和信息化建设提供保障。</w:t>
      </w:r>
    </w:p>
    <w:p w14:paraId="54130D28">
      <w:pPr>
        <w:keepNext w:val="0"/>
        <w:keepLines w:val="0"/>
        <w:pageBreakBefore w:val="0"/>
        <w:widowControl w:val="0"/>
        <w:kinsoku/>
        <w:wordWrap/>
        <w:overflowPunct/>
        <w:topLinePunct/>
        <w:autoSpaceDE/>
        <w:autoSpaceDN/>
        <w:bidi w:val="0"/>
        <w:adjustRightInd/>
        <w:snapToGrid/>
        <w:spacing w:line="579" w:lineRule="exact"/>
        <w:ind w:right="0" w:rightChars="0"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b w:val="0"/>
          <w:bCs w:val="0"/>
          <w:i w:val="0"/>
          <w:iCs w:val="0"/>
          <w:color w:val="auto"/>
          <w:kern w:val="2"/>
          <w:sz w:val="32"/>
          <w:szCs w:val="32"/>
          <w:u w:val="none"/>
          <w:lang w:val="en-US" w:eastAsia="zh-CN" w:bidi="ar-SA"/>
        </w:rPr>
        <w:t>【组织方式】</w:t>
      </w:r>
      <w:r>
        <w:rPr>
          <w:rFonts w:hint="eastAsia" w:ascii="仿宋_GB2312" w:hAnsi="仿宋_GB2312" w:eastAsia="仿宋_GB2312" w:cs="仿宋_GB2312"/>
          <w:color w:val="auto"/>
          <w:sz w:val="32"/>
          <w:szCs w:val="32"/>
          <w:shd w:val="clear" w:color="auto" w:fill="FFFFFF"/>
          <w:lang w:val="en-US" w:eastAsia="zh-CN"/>
        </w:rPr>
        <w:t>“同级审”，根据市审计局统筹安排，区审计局组织实施。</w:t>
      </w:r>
      <w:r>
        <w:rPr>
          <w:rFonts w:hint="eastAsia" w:ascii="仿宋_GB2312" w:hAnsi="仿宋" w:eastAsia="仿宋_GB2312"/>
          <w:color w:val="auto"/>
          <w:sz w:val="32"/>
          <w:szCs w:val="32"/>
          <w:lang w:eastAsia="zh-CN"/>
        </w:rPr>
        <w:t>审计结果纳入向区人大常委会报告的《关于2025年度区级预算执行及其他财政收支的审计工作报告》。</w:t>
      </w:r>
    </w:p>
    <w:p w14:paraId="119A759D">
      <w:pPr>
        <w:keepNext w:val="0"/>
        <w:keepLines w:val="0"/>
        <w:pageBreakBefore w:val="0"/>
        <w:widowControl w:val="0"/>
        <w:numPr>
          <w:ilvl w:val="0"/>
          <w:numId w:val="0"/>
        </w:numPr>
        <w:kinsoku/>
        <w:wordWrap/>
        <w:overflowPunct/>
        <w:topLinePunct/>
        <w:autoSpaceDE/>
        <w:autoSpaceDN/>
        <w:bidi w:val="0"/>
        <w:adjustRightInd/>
        <w:snapToGrid w:val="0"/>
        <w:spacing w:before="0" w:line="579" w:lineRule="exact"/>
        <w:ind w:leftChars="0" w:right="0" w:firstLine="640" w:firstLineChars="200"/>
        <w:jc w:val="both"/>
        <w:textAlignment w:val="auto"/>
        <w:rPr>
          <w:rFonts w:hint="eastAsia" w:ascii="黑体" w:hAnsi="黑体" w:eastAsia="黑体" w:cs="黑体"/>
          <w:b w:val="0"/>
          <w:bCs w:val="0"/>
          <w:i w:val="0"/>
          <w:iCs w:val="0"/>
          <w:color w:val="auto"/>
          <w:kern w:val="2"/>
          <w:sz w:val="32"/>
          <w:szCs w:val="32"/>
          <w:u w:val="none"/>
          <w:lang w:val="en-US" w:eastAsia="zh-CN" w:bidi="ar-SA"/>
        </w:rPr>
      </w:pPr>
      <w:r>
        <w:rPr>
          <w:rFonts w:hint="eastAsia" w:ascii="黑体" w:hAnsi="黑体" w:eastAsia="黑体" w:cs="黑体"/>
          <w:b w:val="0"/>
          <w:bCs w:val="0"/>
          <w:i w:val="0"/>
          <w:iCs w:val="0"/>
          <w:color w:val="auto"/>
          <w:kern w:val="2"/>
          <w:sz w:val="32"/>
          <w:szCs w:val="32"/>
          <w:u w:val="none"/>
          <w:lang w:val="en-US" w:eastAsia="zh-CN" w:bidi="ar-SA"/>
        </w:rPr>
        <w:t>三、工作要求</w:t>
      </w:r>
    </w:p>
    <w:p w14:paraId="45CAD282">
      <w:pPr>
        <w:keepNext w:val="0"/>
        <w:keepLines w:val="0"/>
        <w:pageBreakBefore w:val="0"/>
        <w:widowControl w:val="0"/>
        <w:kinsoku/>
        <w:wordWrap/>
        <w:overflowPunct/>
        <w:topLinePunct/>
        <w:autoSpaceDE/>
        <w:autoSpaceDN/>
        <w:bidi w:val="0"/>
        <w:adjustRightInd/>
        <w:snapToGri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eastAsia="zh-CN"/>
        </w:rPr>
      </w:pPr>
      <w:r>
        <w:rPr>
          <w:rFonts w:hint="eastAsia" w:ascii="楷体_GB2312" w:hAnsi="楷体" w:eastAsia="楷体_GB2312" w:cs="楷体_GB2312"/>
          <w:color w:val="auto"/>
          <w:sz w:val="32"/>
          <w:szCs w:val="32"/>
          <w:lang w:eastAsia="zh-CN"/>
        </w:rPr>
        <w:t>（一）坚持政治统领，在服务大局上彰显新担当。</w:t>
      </w:r>
      <w:r>
        <w:rPr>
          <w:rFonts w:hint="eastAsia" w:ascii="仿宋_GB2312" w:hAnsi="仿宋_GB2312" w:eastAsia="仿宋_GB2312" w:cs="仿宋_GB2312"/>
          <w:b w:val="0"/>
          <w:bCs w:val="0"/>
          <w:i w:val="0"/>
          <w:iCs w:val="0"/>
          <w:color w:val="auto"/>
          <w:sz w:val="32"/>
          <w:szCs w:val="32"/>
          <w:u w:val="none"/>
          <w:lang w:eastAsia="zh-CN"/>
        </w:rPr>
        <w:t>自觉从政治大局和战略全局高度谋划审计工作，主动融入国家治理体系现代化进程，全力服务“十五五”规划顺利开局。准确把握全面覆盖与突出重点的辩证关系，统筹优化审计资源，拓展监督的广度、精度与深度，着力构建集中统一、全面覆盖、权威高效的审计监督体系。一体推进审计揭示问题“上半篇文章”与审计整改“下半篇文章”，推动问题真改实改、标本兼治，切实提升审计监督的权威性和震慑力。</w:t>
      </w:r>
    </w:p>
    <w:p w14:paraId="2E4E4F59">
      <w:pPr>
        <w:keepNext w:val="0"/>
        <w:keepLines w:val="0"/>
        <w:pageBreakBefore w:val="0"/>
        <w:widowControl w:val="0"/>
        <w:kinsoku/>
        <w:wordWrap/>
        <w:overflowPunct/>
        <w:topLinePunct/>
        <w:autoSpaceDE/>
        <w:autoSpaceDN/>
        <w:bidi w:val="0"/>
        <w:adjustRightInd/>
        <w:snapToGri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eastAsia="zh-CN"/>
        </w:rPr>
      </w:pPr>
      <w:r>
        <w:rPr>
          <w:rFonts w:hint="eastAsia" w:ascii="楷体_GB2312" w:hAnsi="楷体" w:eastAsia="楷体_GB2312" w:cs="楷体_GB2312"/>
          <w:color w:val="auto"/>
          <w:sz w:val="32"/>
          <w:szCs w:val="32"/>
          <w:lang w:eastAsia="zh-CN"/>
        </w:rPr>
        <w:t>（二）做实研究课题，在服务决策上实现新突破。</w:t>
      </w:r>
      <w:r>
        <w:rPr>
          <w:rFonts w:hint="eastAsia" w:ascii="仿宋_GB2312" w:hAnsi="仿宋_GB2312" w:eastAsia="仿宋_GB2312" w:cs="仿宋_GB2312"/>
          <w:b w:val="0"/>
          <w:bCs w:val="0"/>
          <w:i w:val="0"/>
          <w:iCs w:val="0"/>
          <w:color w:val="auto"/>
          <w:sz w:val="32"/>
          <w:szCs w:val="32"/>
          <w:u w:val="none"/>
          <w:lang w:eastAsia="zh-CN"/>
        </w:rPr>
        <w:t>坚持把研究型审计作为提升监督质效的必由路径，推动“把立项当课题研究、把问题当课题研究、把建议当课题研究”走深走实。加强审前研判，在立项研究上提“精度”，做实做细审计工作方案，强化全过程业务指导。强化对审计发现问题的规律性剖析，在问题研究上提“深度”，确保审计结论客观公正、经得起历史和实践检验。项目完成后，及时开展后评估，在建议研究上提“准度”，推动审计成果从“点了题”向“答好题”转化。</w:t>
      </w:r>
    </w:p>
    <w:p w14:paraId="7671AB04">
      <w:pPr>
        <w:keepNext w:val="0"/>
        <w:keepLines w:val="0"/>
        <w:pageBreakBefore w:val="0"/>
        <w:widowControl w:val="0"/>
        <w:kinsoku/>
        <w:wordWrap/>
        <w:overflowPunct/>
        <w:topLinePunct/>
        <w:autoSpaceDE/>
        <w:autoSpaceDN/>
        <w:bidi w:val="0"/>
        <w:adjustRightInd/>
        <w:snapToGri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eastAsia="zh-CN"/>
        </w:rPr>
      </w:pPr>
      <w:r>
        <w:rPr>
          <w:rFonts w:hint="eastAsia" w:ascii="楷体_GB2312" w:hAnsi="楷体" w:eastAsia="楷体_GB2312" w:cs="楷体_GB2312"/>
          <w:color w:val="auto"/>
          <w:sz w:val="32"/>
          <w:szCs w:val="32"/>
          <w:lang w:eastAsia="zh-CN"/>
        </w:rPr>
        <w:t>（三）强化过程管控，在规范运行上取得新成效。</w:t>
      </w:r>
      <w:r>
        <w:rPr>
          <w:rFonts w:hint="eastAsia" w:ascii="仿宋_GB2312" w:hAnsi="仿宋_GB2312" w:eastAsia="仿宋_GB2312" w:cs="仿宋_GB2312"/>
          <w:b w:val="0"/>
          <w:bCs w:val="0"/>
          <w:i w:val="0"/>
          <w:iCs w:val="0"/>
          <w:color w:val="auto"/>
          <w:sz w:val="32"/>
          <w:szCs w:val="32"/>
          <w:u w:val="none"/>
          <w:lang w:eastAsia="zh-CN"/>
        </w:rPr>
        <w:t>严格落实组长负责制，科学分工、挂图作战、统筹推进。严把审计质量“生命线”，聚焦财政绩效、重大项目、民生保障等重点领域，精准揭示重大典型问题及苗头性、倾向性问题。深化数字审计赋能，推广大数据技术应用，提升审计监督的穿透力、精准度和智能化水平，以科技强审助推审计工作现代化。</w:t>
      </w:r>
    </w:p>
    <w:p w14:paraId="1B3C5EB4">
      <w:pPr>
        <w:keepNext w:val="0"/>
        <w:keepLines w:val="0"/>
        <w:pageBreakBefore w:val="0"/>
        <w:widowControl w:val="0"/>
        <w:kinsoku/>
        <w:wordWrap/>
        <w:overflowPunct/>
        <w:topLinePunct/>
        <w:autoSpaceDE/>
        <w:autoSpaceDN/>
        <w:bidi w:val="0"/>
        <w:adjustRightInd/>
        <w:snapToGri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eastAsia="zh-CN"/>
        </w:rPr>
      </w:pPr>
      <w:r>
        <w:rPr>
          <w:rFonts w:hint="eastAsia" w:ascii="楷体_GB2312" w:hAnsi="楷体" w:eastAsia="楷体_GB2312" w:cs="楷体_GB2312"/>
          <w:color w:val="auto"/>
          <w:sz w:val="32"/>
          <w:szCs w:val="32"/>
          <w:lang w:eastAsia="zh-CN"/>
        </w:rPr>
        <w:t>（四）淬炼过硬作风，在锻造铁军上展现新风貌。</w:t>
      </w:r>
      <w:r>
        <w:rPr>
          <w:rFonts w:hint="eastAsia" w:ascii="仿宋_GB2312" w:hAnsi="仿宋_GB2312" w:eastAsia="仿宋_GB2312" w:cs="仿宋_GB2312"/>
          <w:b w:val="0"/>
          <w:bCs w:val="0"/>
          <w:i w:val="0"/>
          <w:iCs w:val="0"/>
          <w:color w:val="auto"/>
          <w:sz w:val="32"/>
          <w:szCs w:val="32"/>
          <w:u w:val="none"/>
          <w:lang w:eastAsia="zh-CN"/>
        </w:rPr>
        <w:t>坚持依法审计、文明审计、廉洁审计，严守审计“八不准”工作纪律，守护好“国家审计”金字招牌。牢固树立正确的权力观、政绩观、事业观，做到敢审敢严、实事求是，确保事实清楚、定性准确、程序合规。加强专业化能力建设，着力提升大数据审计、政策评估、风险研判等实战本领，加快锻造一支政治坚定、业务精湛、作风过硬、纪律严明的专业化审计队伍。</w:t>
      </w:r>
    </w:p>
    <w:p w14:paraId="7E3C4AFF">
      <w:pPr>
        <w:keepNext w:val="0"/>
        <w:keepLines w:val="0"/>
        <w:pageBreakBefore w:val="0"/>
        <w:widowControl w:val="0"/>
        <w:kinsoku/>
        <w:wordWrap/>
        <w:overflowPunct/>
        <w:topLinePunct/>
        <w:autoSpaceDE/>
        <w:autoSpaceDN/>
        <w:bidi w:val="0"/>
        <w:adjustRightInd/>
        <w:snapToGrid/>
        <w:spacing w:line="579" w:lineRule="exact"/>
        <w:ind w:right="0" w:firstLine="640" w:firstLineChars="200"/>
        <w:jc w:val="both"/>
        <w:textAlignment w:val="auto"/>
        <w:rPr>
          <w:rFonts w:hint="eastAsia" w:ascii="仿宋_GB2312" w:hAnsi="仿宋_GB2312" w:eastAsia="仿宋_GB2312" w:cs="仿宋_GB2312"/>
          <w:b w:val="0"/>
          <w:bCs w:val="0"/>
          <w:i w:val="0"/>
          <w:iCs w:val="0"/>
          <w:color w:val="auto"/>
          <w:sz w:val="32"/>
          <w:szCs w:val="32"/>
          <w:u w:val="none"/>
          <w:lang w:val="en-US" w:eastAsia="zh-CN"/>
        </w:rPr>
      </w:pPr>
    </w:p>
    <w:p w14:paraId="59E05FD4">
      <w:pPr>
        <w:spacing w:line="610" w:lineRule="exact"/>
        <w:ind w:firstLine="0" w:firstLineChars="0"/>
        <w:jc w:val="center"/>
        <w:rPr>
          <w:rFonts w:hint="eastAsia" w:ascii="仿宋_GB2312" w:hAnsi="仿宋_GB2312" w:eastAsia="仿宋_GB2312" w:cs="仿宋_GB2312"/>
          <w:color w:val="000000"/>
          <w:sz w:val="32"/>
          <w:szCs w:val="32"/>
          <w:u w:val="none"/>
          <w:shd w:val="clear" w:color="auto" w:fill="auto"/>
        </w:rPr>
      </w:pPr>
    </w:p>
    <w:sectPr>
      <w:footerReference r:id="rId3" w:type="default"/>
      <w:pgSz w:w="11906" w:h="16838"/>
      <w:pgMar w:top="2098" w:right="1531" w:bottom="1984" w:left="1531" w:header="851" w:footer="170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023FD">
    <w:pPr>
      <w:pStyle w:val="4"/>
      <w:tabs>
        <w:tab w:val="center" w:pos="4422"/>
        <w:tab w:val="clear" w:pos="4153"/>
      </w:tabs>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97A70">
                          <w:pPr>
                            <w:pStyle w:val="4"/>
                            <w:ind w:left="336" w:leftChars="160" w:right="336" w:rightChars="16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797A70">
                    <w:pPr>
                      <w:pStyle w:val="4"/>
                      <w:ind w:left="336" w:leftChars="160" w:right="336" w:rightChars="16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A29CB"/>
    <w:rsid w:val="01740A41"/>
    <w:rsid w:val="0CF03EE2"/>
    <w:rsid w:val="11F21974"/>
    <w:rsid w:val="12513857"/>
    <w:rsid w:val="1B2E04E7"/>
    <w:rsid w:val="20971013"/>
    <w:rsid w:val="2E941425"/>
    <w:rsid w:val="33C02C78"/>
    <w:rsid w:val="3E4D5B64"/>
    <w:rsid w:val="3F7927FC"/>
    <w:rsid w:val="3FCD6916"/>
    <w:rsid w:val="4315590C"/>
    <w:rsid w:val="43531C3A"/>
    <w:rsid w:val="455517F3"/>
    <w:rsid w:val="464D6BAF"/>
    <w:rsid w:val="4E2B70BB"/>
    <w:rsid w:val="51002353"/>
    <w:rsid w:val="596411B7"/>
    <w:rsid w:val="5ABB6C3C"/>
    <w:rsid w:val="5DAE6F13"/>
    <w:rsid w:val="6578220F"/>
    <w:rsid w:val="66BC75B7"/>
    <w:rsid w:val="67717495"/>
    <w:rsid w:val="68E7402D"/>
    <w:rsid w:val="6A5C5458"/>
    <w:rsid w:val="6B31618A"/>
    <w:rsid w:val="6C1716CD"/>
    <w:rsid w:val="6CEF061E"/>
    <w:rsid w:val="6E0F0E92"/>
    <w:rsid w:val="720245A2"/>
    <w:rsid w:val="76052036"/>
    <w:rsid w:val="791B1956"/>
    <w:rsid w:val="7F223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700" w:rightChars="7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3299</Words>
  <Characters>3365</Characters>
  <Lines>0</Lines>
  <Paragraphs>0</Paragraphs>
  <TotalTime>17</TotalTime>
  <ScaleCrop>false</ScaleCrop>
  <LinksUpToDate>false</LinksUpToDate>
  <CharactersWithSpaces>4881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2026-02-28T05:02:00Z</dcterms:created>
  <dc:creator>lenovo</dc:creator>
  <cp:lastModifiedBy>锦瑟流年1417585354</cp:lastModifiedBy>
  <cp:lastPrinted>2026-10-12T07:31:15Z</cp:lastPrinted>
  <dcterms:modified xsi:type="dcterms:W3CDTF">2026-10-12T07:42:56Z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E7886D5D8DCF4BCBA1F6A60E71CCCA7D_13</vt:lpwstr>
  </property>
  <property fmtid="{D5CDD505-2E9C-101B-9397-08002B2CF9AE}" pid="4" name="KSOTemplateDocerSaveRecord">
    <vt:lpwstr>eyJoZGlkIjoiYzMxOWVmYzViYzNiNTlmNzE4MDAxYTVjMjZiOTFiOGEiLCJ1c2VySWQiOiIyNjIzMTMzMSJ9</vt:lpwstr>
  </property>
</Properties>
</file>