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12BDB">
      <w:pPr>
        <w:keepNext w:val="0"/>
        <w:keepLines w:val="0"/>
        <w:pageBreakBefore w:val="0"/>
        <w:overflowPunct/>
        <w:topLinePunct w:val="0"/>
        <w:bidi w:val="0"/>
        <w:spacing w:line="500" w:lineRule="exact"/>
        <w:ind w:right="0"/>
        <w:rPr>
          <w:rFonts w:hint="eastAsia" w:ascii="黑体" w:hAnsi="黑体" w:eastAsia="黑体" w:cs="黑体"/>
          <w:color w:val="auto"/>
          <w:sz w:val="31"/>
          <w:szCs w:val="31"/>
        </w:rPr>
      </w:pPr>
      <w:r>
        <w:rPr>
          <w:rFonts w:hint="eastAsia" w:ascii="黑体" w:hAnsi="黑体" w:eastAsia="黑体" w:cs="黑体"/>
          <w:color w:val="auto"/>
          <w:spacing w:val="-6"/>
          <w:sz w:val="31"/>
          <w:szCs w:val="31"/>
        </w:rPr>
        <w:t>附件2</w:t>
      </w:r>
    </w:p>
    <w:p w14:paraId="5A8D7C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800" w:firstLineChars="200"/>
        <w:jc w:val="center"/>
        <w:textAlignment w:val="auto"/>
        <w:rPr>
          <w:rFonts w:hint="eastAsia" w:ascii="方正小标宋简体" w:hAnsi="方正小标宋简体" w:eastAsia="方正小标宋简体" w:cs="方正小标宋简体"/>
          <w:snapToGrid/>
          <w:color w:val="auto"/>
          <w:sz w:val="40"/>
          <w:szCs w:val="40"/>
          <w:lang w:val="en-US" w:eastAsia="zh-CN"/>
        </w:rPr>
      </w:pPr>
      <w:r>
        <w:rPr>
          <w:rFonts w:hint="eastAsia" w:ascii="方正小标宋简体" w:hAnsi="方正小标宋简体" w:eastAsia="方正小标宋简体" w:cs="方正小标宋简体"/>
          <w:snapToGrid/>
          <w:color w:val="auto"/>
          <w:sz w:val="40"/>
          <w:szCs w:val="40"/>
          <w:lang w:val="en-US" w:eastAsia="zh-CN"/>
        </w:rPr>
        <w:t>区人社系统2026年“五进五促政策宣讲”活动计划表</w:t>
      </w:r>
    </w:p>
    <w:tbl>
      <w:tblPr>
        <w:tblStyle w:val="8"/>
        <w:tblW w:w="15045" w:type="dxa"/>
        <w:tblInd w:w="-7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5"/>
        <w:gridCol w:w="1995"/>
        <w:gridCol w:w="5235"/>
        <w:gridCol w:w="825"/>
        <w:gridCol w:w="960"/>
        <w:gridCol w:w="2115"/>
        <w:gridCol w:w="1035"/>
        <w:gridCol w:w="1575"/>
      </w:tblGrid>
      <w:tr w14:paraId="6BE84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1305" w:type="dxa"/>
            <w:vAlign w:val="center"/>
          </w:tcPr>
          <w:p w14:paraId="63B25AEA">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13"/>
                <w:sz w:val="28"/>
                <w:szCs w:val="28"/>
              </w:rPr>
              <w:t>活动类别</w:t>
            </w:r>
          </w:p>
        </w:tc>
        <w:tc>
          <w:tcPr>
            <w:tcW w:w="1995" w:type="dxa"/>
            <w:vAlign w:val="center"/>
          </w:tcPr>
          <w:p w14:paraId="1620A442">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11"/>
                <w:sz w:val="28"/>
                <w:szCs w:val="28"/>
              </w:rPr>
              <w:t>宣讲主题</w:t>
            </w:r>
          </w:p>
        </w:tc>
        <w:tc>
          <w:tcPr>
            <w:tcW w:w="5235" w:type="dxa"/>
            <w:vAlign w:val="center"/>
          </w:tcPr>
          <w:p w14:paraId="6965142E">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13"/>
                <w:sz w:val="28"/>
                <w:szCs w:val="28"/>
              </w:rPr>
              <w:t>活动内容</w:t>
            </w:r>
          </w:p>
        </w:tc>
        <w:tc>
          <w:tcPr>
            <w:tcW w:w="825" w:type="dxa"/>
            <w:vAlign w:val="center"/>
          </w:tcPr>
          <w:p w14:paraId="4F572FD7">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1"/>
                <w:sz w:val="28"/>
                <w:szCs w:val="28"/>
              </w:rPr>
              <w:t>时间</w:t>
            </w:r>
          </w:p>
        </w:tc>
        <w:tc>
          <w:tcPr>
            <w:tcW w:w="960" w:type="dxa"/>
            <w:vAlign w:val="center"/>
          </w:tcPr>
          <w:p w14:paraId="0CC4C10A">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8"/>
                <w:sz w:val="28"/>
                <w:szCs w:val="28"/>
              </w:rPr>
              <w:t>地点</w:t>
            </w:r>
          </w:p>
        </w:tc>
        <w:tc>
          <w:tcPr>
            <w:tcW w:w="2115" w:type="dxa"/>
            <w:vAlign w:val="center"/>
          </w:tcPr>
          <w:p w14:paraId="68896CC1">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11"/>
                <w:sz w:val="28"/>
                <w:szCs w:val="28"/>
              </w:rPr>
              <w:t>宣讲对象</w:t>
            </w:r>
          </w:p>
        </w:tc>
        <w:tc>
          <w:tcPr>
            <w:tcW w:w="1035" w:type="dxa"/>
            <w:vAlign w:val="center"/>
          </w:tcPr>
          <w:p w14:paraId="09FA7936">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举办</w:t>
            </w:r>
          </w:p>
          <w:p w14:paraId="44C827C3">
            <w:pPr>
              <w:keepNext w:val="0"/>
              <w:keepLines w:val="0"/>
              <w:pageBreakBefore w:val="0"/>
              <w:overflowPunct/>
              <w:topLinePunct w:val="0"/>
              <w:bidi w:val="0"/>
              <w:spacing w:line="500" w:lineRule="exact"/>
              <w:ind w:right="0"/>
              <w:jc w:val="center"/>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场次</w:t>
            </w:r>
          </w:p>
        </w:tc>
        <w:tc>
          <w:tcPr>
            <w:tcW w:w="1575" w:type="dxa"/>
            <w:vAlign w:val="center"/>
          </w:tcPr>
          <w:p w14:paraId="4C01F171">
            <w:pPr>
              <w:keepNext w:val="0"/>
              <w:keepLines w:val="0"/>
              <w:pageBreakBefore w:val="0"/>
              <w:overflowPunct/>
              <w:topLinePunct w:val="0"/>
              <w:bidi w:val="0"/>
              <w:spacing w:line="500" w:lineRule="exact"/>
              <w:ind w:right="0"/>
              <w:jc w:val="center"/>
              <w:rPr>
                <w:rFonts w:hint="eastAsia" w:ascii="黑体" w:hAnsi="黑体" w:eastAsia="黑体" w:cs="黑体"/>
                <w:color w:val="auto"/>
                <w:sz w:val="28"/>
                <w:szCs w:val="28"/>
              </w:rPr>
            </w:pPr>
            <w:r>
              <w:rPr>
                <w:rFonts w:hint="eastAsia" w:ascii="黑体" w:hAnsi="黑体" w:eastAsia="黑体" w:cs="黑体"/>
                <w:color w:val="auto"/>
                <w:spacing w:val="11"/>
                <w:sz w:val="28"/>
                <w:szCs w:val="28"/>
              </w:rPr>
              <w:t>责任单位</w:t>
            </w:r>
          </w:p>
        </w:tc>
      </w:tr>
      <w:tr w14:paraId="5C4CF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9" w:hRule="atLeast"/>
        </w:trPr>
        <w:tc>
          <w:tcPr>
            <w:tcW w:w="1305" w:type="dxa"/>
            <w:vMerge w:val="restart"/>
            <w:tcBorders>
              <w:bottom w:val="nil"/>
            </w:tcBorders>
            <w:vAlign w:val="center"/>
          </w:tcPr>
          <w:p w14:paraId="5028842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综合宣传</w:t>
            </w:r>
          </w:p>
        </w:tc>
        <w:tc>
          <w:tcPr>
            <w:tcW w:w="1995" w:type="dxa"/>
            <w:vAlign w:val="center"/>
          </w:tcPr>
          <w:p w14:paraId="73102FC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“人社惠民政策进万家”宣传</w:t>
            </w:r>
          </w:p>
        </w:tc>
        <w:tc>
          <w:tcPr>
            <w:tcW w:w="5235" w:type="dxa"/>
            <w:vAlign w:val="center"/>
          </w:tcPr>
          <w:p w14:paraId="250C390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rPr>
              <w:t>聚焦企业</w:t>
            </w:r>
            <w:r>
              <w:rPr>
                <w:rFonts w:hint="eastAsia" w:ascii="仿宋_GB2312" w:hAnsi="仿宋_GB2312" w:eastAsia="仿宋_GB2312" w:cs="仿宋_GB2312"/>
                <w:color w:val="auto"/>
                <w:spacing w:val="-11"/>
                <w:sz w:val="28"/>
                <w:szCs w:val="28"/>
                <w:lang w:eastAsia="zh-CN"/>
              </w:rPr>
              <w:t>、</w:t>
            </w:r>
            <w:r>
              <w:rPr>
                <w:rFonts w:hint="eastAsia" w:ascii="仿宋_GB2312" w:hAnsi="仿宋_GB2312" w:eastAsia="仿宋_GB2312" w:cs="仿宋_GB2312"/>
                <w:color w:val="auto"/>
                <w:spacing w:val="-11"/>
                <w:sz w:val="28"/>
                <w:szCs w:val="28"/>
              </w:rPr>
              <w:t>群众高频办事服务事项，按照“政策依据、受理条件、申请材料、办结时限、办事流程、联系方式、办理方式”八大要素条目化列出</w:t>
            </w:r>
            <w:r>
              <w:rPr>
                <w:rFonts w:hint="eastAsia" w:ascii="仿宋_GB2312" w:hAnsi="仿宋_GB2312" w:eastAsia="仿宋_GB2312" w:cs="仿宋_GB2312"/>
                <w:color w:val="auto"/>
                <w:spacing w:val="-11"/>
                <w:sz w:val="28"/>
                <w:szCs w:val="28"/>
                <w:lang w:eastAsia="zh-CN"/>
              </w:rPr>
              <w:t>。</w:t>
            </w:r>
          </w:p>
        </w:tc>
        <w:tc>
          <w:tcPr>
            <w:tcW w:w="825" w:type="dxa"/>
            <w:vAlign w:val="center"/>
          </w:tcPr>
          <w:p w14:paraId="33ABB83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全年</w:t>
            </w:r>
          </w:p>
        </w:tc>
        <w:tc>
          <w:tcPr>
            <w:tcW w:w="960" w:type="dxa"/>
            <w:vAlign w:val="center"/>
          </w:tcPr>
          <w:p w14:paraId="26951C4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p w14:paraId="676EE8A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lang w:eastAsia="zh-CN"/>
              </w:rPr>
              <w:t>（</w:t>
            </w:r>
            <w:r>
              <w:rPr>
                <w:rFonts w:hint="eastAsia" w:ascii="仿宋_GB2312" w:hAnsi="仿宋_GB2312" w:eastAsia="仿宋_GB2312" w:cs="仿宋_GB2312"/>
                <w:color w:val="auto"/>
                <w:spacing w:val="-11"/>
                <w:sz w:val="28"/>
                <w:szCs w:val="28"/>
              </w:rPr>
              <w:t>线上</w:t>
            </w:r>
            <w:r>
              <w:rPr>
                <w:rFonts w:hint="eastAsia" w:ascii="仿宋_GB2312" w:hAnsi="仿宋_GB2312" w:eastAsia="仿宋_GB2312" w:cs="仿宋_GB2312"/>
                <w:color w:val="auto"/>
                <w:spacing w:val="-11"/>
                <w:sz w:val="28"/>
                <w:szCs w:val="28"/>
                <w:lang w:val="en-US" w:eastAsia="zh-CN"/>
              </w:rPr>
              <w:t>+</w:t>
            </w:r>
            <w:r>
              <w:rPr>
                <w:rFonts w:hint="eastAsia" w:ascii="仿宋_GB2312" w:hAnsi="仿宋_GB2312" w:eastAsia="仿宋_GB2312" w:cs="仿宋_GB2312"/>
                <w:color w:val="auto"/>
                <w:spacing w:val="-11"/>
                <w:sz w:val="28"/>
                <w:szCs w:val="28"/>
              </w:rPr>
              <w:t>线下</w:t>
            </w:r>
            <w:r>
              <w:rPr>
                <w:rFonts w:hint="eastAsia" w:ascii="仿宋_GB2312" w:hAnsi="仿宋_GB2312" w:eastAsia="仿宋_GB2312" w:cs="仿宋_GB2312"/>
                <w:color w:val="auto"/>
                <w:spacing w:val="-11"/>
                <w:sz w:val="28"/>
                <w:szCs w:val="28"/>
                <w:lang w:eastAsia="zh-CN"/>
              </w:rPr>
              <w:t>）</w:t>
            </w:r>
          </w:p>
        </w:tc>
        <w:tc>
          <w:tcPr>
            <w:tcW w:w="2115" w:type="dxa"/>
            <w:vAlign w:val="center"/>
          </w:tcPr>
          <w:p w14:paraId="5E784B4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企事业单位及职工、劳动者、高校毕业生等不同服务对象</w:t>
            </w:r>
          </w:p>
        </w:tc>
        <w:tc>
          <w:tcPr>
            <w:tcW w:w="1035" w:type="dxa"/>
            <w:vAlign w:val="center"/>
          </w:tcPr>
          <w:p w14:paraId="44BFB1D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多场次</w:t>
            </w:r>
          </w:p>
        </w:tc>
        <w:tc>
          <w:tcPr>
            <w:tcW w:w="1575" w:type="dxa"/>
            <w:vAlign w:val="center"/>
          </w:tcPr>
          <w:p w14:paraId="491B77A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机关各股室、局属各单位</w:t>
            </w:r>
          </w:p>
        </w:tc>
      </w:tr>
      <w:tr w14:paraId="30023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1305" w:type="dxa"/>
            <w:vMerge w:val="continue"/>
            <w:tcBorders>
              <w:top w:val="nil"/>
              <w:bottom w:val="nil"/>
            </w:tcBorders>
            <w:vAlign w:val="center"/>
          </w:tcPr>
          <w:p w14:paraId="4DAC818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vAlign w:val="center"/>
          </w:tcPr>
          <w:p w14:paraId="2CD9F54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highlight w:val="none"/>
              </w:rPr>
            </w:pPr>
            <w:r>
              <w:rPr>
                <w:rFonts w:hint="eastAsia" w:ascii="仿宋_GB2312" w:hAnsi="仿宋_GB2312" w:eastAsia="仿宋_GB2312" w:cs="仿宋_GB2312"/>
                <w:color w:val="auto"/>
                <w:spacing w:val="-11"/>
                <w:sz w:val="28"/>
                <w:szCs w:val="28"/>
                <w:highlight w:val="none"/>
              </w:rPr>
              <w:t>全省职业技能大赛和“湖北工匠”活动</w:t>
            </w:r>
          </w:p>
        </w:tc>
        <w:tc>
          <w:tcPr>
            <w:tcW w:w="5235" w:type="dxa"/>
            <w:vAlign w:val="center"/>
          </w:tcPr>
          <w:p w14:paraId="036BA18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highlight w:val="none"/>
                <w:lang w:eastAsia="zh-CN"/>
              </w:rPr>
            </w:pPr>
            <w:r>
              <w:rPr>
                <w:rFonts w:hint="eastAsia" w:ascii="仿宋_GB2312" w:hAnsi="仿宋_GB2312" w:eastAsia="仿宋_GB2312" w:cs="仿宋_GB2312"/>
                <w:color w:val="auto"/>
                <w:spacing w:val="-11"/>
                <w:sz w:val="28"/>
                <w:szCs w:val="28"/>
                <w:highlight w:val="none"/>
              </w:rPr>
              <w:t>结合全省职业技能大赛、“湖北工匠杯”系列技能大赛及市县各类技能大赛，大力宣传技能人才相关政策，推广世赛、国赛，弘扬劳模精神、劳动精神、工匠精神，激励广大劳动者技能成才、技能报国</w:t>
            </w:r>
            <w:r>
              <w:rPr>
                <w:rFonts w:hint="eastAsia" w:ascii="仿宋_GB2312" w:hAnsi="仿宋_GB2312" w:eastAsia="仿宋_GB2312" w:cs="仿宋_GB2312"/>
                <w:color w:val="auto"/>
                <w:spacing w:val="-11"/>
                <w:sz w:val="28"/>
                <w:szCs w:val="28"/>
                <w:highlight w:val="none"/>
                <w:lang w:eastAsia="zh-CN"/>
              </w:rPr>
              <w:t>。</w:t>
            </w:r>
          </w:p>
        </w:tc>
        <w:tc>
          <w:tcPr>
            <w:tcW w:w="825" w:type="dxa"/>
            <w:vAlign w:val="center"/>
          </w:tcPr>
          <w:p w14:paraId="04A61AD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highlight w:val="none"/>
              </w:rPr>
            </w:pPr>
            <w:r>
              <w:rPr>
                <w:rFonts w:hint="eastAsia" w:ascii="仿宋_GB2312" w:hAnsi="仿宋_GB2312" w:eastAsia="仿宋_GB2312" w:cs="仿宋_GB2312"/>
                <w:color w:val="auto"/>
                <w:spacing w:val="-11"/>
                <w:sz w:val="28"/>
                <w:szCs w:val="28"/>
                <w:highlight w:val="none"/>
              </w:rPr>
              <w:t>全年</w:t>
            </w:r>
          </w:p>
        </w:tc>
        <w:tc>
          <w:tcPr>
            <w:tcW w:w="960" w:type="dxa"/>
            <w:vAlign w:val="center"/>
          </w:tcPr>
          <w:p w14:paraId="624C8B7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vAlign w:val="center"/>
          </w:tcPr>
          <w:p w14:paraId="5B57764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企业职工、技工院校师生、广大技能人才等</w:t>
            </w:r>
          </w:p>
        </w:tc>
        <w:tc>
          <w:tcPr>
            <w:tcW w:w="1035" w:type="dxa"/>
            <w:vAlign w:val="center"/>
          </w:tcPr>
          <w:p w14:paraId="6A74041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多场次</w:t>
            </w:r>
          </w:p>
        </w:tc>
        <w:tc>
          <w:tcPr>
            <w:tcW w:w="1575" w:type="dxa"/>
            <w:vAlign w:val="center"/>
          </w:tcPr>
          <w:p w14:paraId="37A27F8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eastAsia="zh-CN"/>
              </w:rPr>
              <w:t>职专股、</w:t>
            </w:r>
            <w:r>
              <w:rPr>
                <w:rFonts w:hint="eastAsia" w:ascii="仿宋_GB2312" w:hAnsi="仿宋_GB2312" w:eastAsia="仿宋_GB2312" w:cs="仿宋_GB2312"/>
                <w:color w:val="auto"/>
                <w:spacing w:val="-11"/>
                <w:sz w:val="28"/>
                <w:szCs w:val="28"/>
                <w:lang w:val="en-US" w:eastAsia="zh-CN"/>
              </w:rPr>
              <w:t>就业股、就业局</w:t>
            </w:r>
          </w:p>
        </w:tc>
      </w:tr>
      <w:tr w14:paraId="6188D0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3" w:hRule="atLeast"/>
        </w:trPr>
        <w:tc>
          <w:tcPr>
            <w:tcW w:w="1305" w:type="dxa"/>
            <w:vMerge w:val="continue"/>
            <w:tcBorders>
              <w:top w:val="nil"/>
              <w:bottom w:val="nil"/>
            </w:tcBorders>
            <w:vAlign w:val="center"/>
          </w:tcPr>
          <w:p w14:paraId="2E97385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vAlign w:val="center"/>
          </w:tcPr>
          <w:p w14:paraId="49FF0B0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社保服务进万家</w:t>
            </w:r>
          </w:p>
        </w:tc>
        <w:tc>
          <w:tcPr>
            <w:tcW w:w="5235" w:type="dxa"/>
            <w:vAlign w:val="center"/>
          </w:tcPr>
          <w:p w14:paraId="47FB7D8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rPr>
              <w:t>围绕宣传社会保险政策和便民服务措施，深入基层，走进群众，广泛开展内容丰富、形式多样的社保宣传活动，集中展示便民服务特色亮点，推动解决群众办事难点堵点</w:t>
            </w:r>
            <w:r>
              <w:rPr>
                <w:rFonts w:hint="eastAsia" w:ascii="仿宋_GB2312" w:hAnsi="仿宋_GB2312" w:eastAsia="仿宋_GB2312" w:cs="仿宋_GB2312"/>
                <w:color w:val="auto"/>
                <w:spacing w:val="-11"/>
                <w:sz w:val="28"/>
                <w:szCs w:val="28"/>
                <w:lang w:eastAsia="zh-CN"/>
              </w:rPr>
              <w:t>。</w:t>
            </w:r>
          </w:p>
        </w:tc>
        <w:tc>
          <w:tcPr>
            <w:tcW w:w="825" w:type="dxa"/>
            <w:vAlign w:val="center"/>
          </w:tcPr>
          <w:p w14:paraId="24E2F62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全年</w:t>
            </w:r>
          </w:p>
        </w:tc>
        <w:tc>
          <w:tcPr>
            <w:tcW w:w="960" w:type="dxa"/>
            <w:vAlign w:val="center"/>
          </w:tcPr>
          <w:p w14:paraId="4877A94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vAlign w:val="center"/>
          </w:tcPr>
          <w:p w14:paraId="4DE36EB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企业职工、机关事业单位、广大居民（村民）等群体</w:t>
            </w:r>
          </w:p>
        </w:tc>
        <w:tc>
          <w:tcPr>
            <w:tcW w:w="1035" w:type="dxa"/>
            <w:vAlign w:val="center"/>
          </w:tcPr>
          <w:p w14:paraId="5E10F54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多场次</w:t>
            </w:r>
          </w:p>
        </w:tc>
        <w:tc>
          <w:tcPr>
            <w:tcW w:w="1575" w:type="dxa"/>
            <w:vAlign w:val="center"/>
          </w:tcPr>
          <w:p w14:paraId="269FDA1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社保股、</w:t>
            </w:r>
            <w:r>
              <w:rPr>
                <w:rFonts w:hint="eastAsia" w:ascii="仿宋_GB2312" w:hAnsi="仿宋_GB2312" w:eastAsia="仿宋_GB2312" w:cs="仿宋_GB2312"/>
                <w:color w:val="auto"/>
                <w:spacing w:val="-11"/>
                <w:sz w:val="28"/>
                <w:szCs w:val="28"/>
              </w:rPr>
              <w:t>社保</w:t>
            </w:r>
            <w:r>
              <w:rPr>
                <w:rFonts w:hint="eastAsia" w:ascii="仿宋_GB2312" w:hAnsi="仿宋_GB2312" w:eastAsia="仿宋_GB2312" w:cs="仿宋_GB2312"/>
                <w:color w:val="auto"/>
                <w:spacing w:val="-11"/>
                <w:sz w:val="28"/>
                <w:szCs w:val="28"/>
                <w:lang w:val="en-US" w:eastAsia="zh-CN"/>
              </w:rPr>
              <w:t>局、居保局</w:t>
            </w:r>
          </w:p>
        </w:tc>
      </w:tr>
      <w:tr w14:paraId="606A8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8" w:hRule="atLeast"/>
        </w:trPr>
        <w:tc>
          <w:tcPr>
            <w:tcW w:w="1305" w:type="dxa"/>
            <w:vMerge w:val="continue"/>
            <w:tcBorders>
              <w:top w:val="nil"/>
            </w:tcBorders>
            <w:vAlign w:val="center"/>
          </w:tcPr>
          <w:p w14:paraId="6842453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vAlign w:val="center"/>
          </w:tcPr>
          <w:p w14:paraId="3451A58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highlight w:val="none"/>
              </w:rPr>
            </w:pPr>
            <w:r>
              <w:rPr>
                <w:rFonts w:hint="eastAsia" w:ascii="仿宋_GB2312" w:hAnsi="仿宋_GB2312" w:eastAsia="仿宋_GB2312" w:cs="仿宋_GB2312"/>
                <w:color w:val="auto"/>
                <w:spacing w:val="-11"/>
                <w:sz w:val="28"/>
                <w:szCs w:val="28"/>
                <w:highlight w:val="none"/>
              </w:rPr>
              <w:t>高层次人才服务政策宣传</w:t>
            </w:r>
          </w:p>
        </w:tc>
        <w:tc>
          <w:tcPr>
            <w:tcW w:w="5235" w:type="dxa"/>
            <w:vAlign w:val="center"/>
          </w:tcPr>
          <w:p w14:paraId="6FC9C64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highlight w:val="none"/>
                <w:lang w:eastAsia="zh-CN"/>
              </w:rPr>
            </w:pPr>
            <w:r>
              <w:rPr>
                <w:rFonts w:hint="eastAsia" w:ascii="仿宋_GB2312" w:hAnsi="仿宋_GB2312" w:eastAsia="仿宋_GB2312" w:cs="仿宋_GB2312"/>
                <w:color w:val="auto"/>
                <w:spacing w:val="-11"/>
                <w:sz w:val="28"/>
                <w:szCs w:val="28"/>
                <w:highlight w:val="none"/>
              </w:rPr>
              <w:t>聚焦高层次人才最常遇到、最关注的服务事项，利用每周六“千百咖啡”，定期举办各类专题讲座、交流活动</w:t>
            </w:r>
            <w:r>
              <w:rPr>
                <w:rFonts w:hint="eastAsia" w:ascii="仿宋_GB2312" w:hAnsi="仿宋_GB2312" w:eastAsia="仿宋_GB2312" w:cs="仿宋_GB2312"/>
                <w:color w:val="auto"/>
                <w:spacing w:val="-11"/>
                <w:sz w:val="28"/>
                <w:szCs w:val="28"/>
                <w:highlight w:val="none"/>
                <w:lang w:eastAsia="zh-CN"/>
              </w:rPr>
              <w:t>。</w:t>
            </w:r>
          </w:p>
        </w:tc>
        <w:tc>
          <w:tcPr>
            <w:tcW w:w="825" w:type="dxa"/>
            <w:vAlign w:val="center"/>
          </w:tcPr>
          <w:p w14:paraId="13D6942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highlight w:val="none"/>
              </w:rPr>
            </w:pPr>
            <w:r>
              <w:rPr>
                <w:rFonts w:hint="eastAsia" w:ascii="仿宋_GB2312" w:hAnsi="仿宋_GB2312" w:eastAsia="仿宋_GB2312" w:cs="仿宋_GB2312"/>
                <w:color w:val="auto"/>
                <w:spacing w:val="-11"/>
                <w:sz w:val="28"/>
                <w:szCs w:val="28"/>
                <w:highlight w:val="none"/>
              </w:rPr>
              <w:t>全年</w:t>
            </w:r>
          </w:p>
        </w:tc>
        <w:tc>
          <w:tcPr>
            <w:tcW w:w="960" w:type="dxa"/>
            <w:vAlign w:val="center"/>
          </w:tcPr>
          <w:p w14:paraId="178ADFE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高层次人才服务窗口</w:t>
            </w:r>
          </w:p>
        </w:tc>
        <w:tc>
          <w:tcPr>
            <w:tcW w:w="2115" w:type="dxa"/>
            <w:vAlign w:val="center"/>
          </w:tcPr>
          <w:p w14:paraId="59AC6E0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lang w:val="en-US" w:eastAsia="zh-CN"/>
              </w:rPr>
              <w:t>我区引进高层次人才、</w:t>
            </w:r>
            <w:r>
              <w:rPr>
                <w:rFonts w:hint="eastAsia" w:ascii="仿宋_GB2312" w:hAnsi="仿宋_GB2312" w:eastAsia="仿宋_GB2312" w:cs="仿宋_GB2312"/>
                <w:color w:val="auto"/>
                <w:spacing w:val="-11"/>
                <w:sz w:val="28"/>
                <w:szCs w:val="28"/>
              </w:rPr>
              <w:t>“楚才卡”持卡人</w:t>
            </w:r>
          </w:p>
        </w:tc>
        <w:tc>
          <w:tcPr>
            <w:tcW w:w="1035" w:type="dxa"/>
            <w:vAlign w:val="center"/>
          </w:tcPr>
          <w:p w14:paraId="4894994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多场次</w:t>
            </w:r>
          </w:p>
        </w:tc>
        <w:tc>
          <w:tcPr>
            <w:tcW w:w="1575" w:type="dxa"/>
            <w:vAlign w:val="center"/>
          </w:tcPr>
          <w:p w14:paraId="0EE7CB3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人才</w:t>
            </w:r>
            <w:r>
              <w:rPr>
                <w:rFonts w:hint="eastAsia" w:ascii="仿宋_GB2312" w:hAnsi="仿宋_GB2312" w:eastAsia="仿宋_GB2312" w:cs="仿宋_GB2312"/>
                <w:color w:val="auto"/>
                <w:spacing w:val="-11"/>
                <w:sz w:val="28"/>
                <w:szCs w:val="28"/>
                <w:lang w:val="en-US" w:eastAsia="zh-CN"/>
              </w:rPr>
              <w:t>局</w:t>
            </w:r>
          </w:p>
        </w:tc>
      </w:tr>
      <w:tr w14:paraId="7316F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3" w:hRule="atLeast"/>
        </w:trPr>
        <w:tc>
          <w:tcPr>
            <w:tcW w:w="1305" w:type="dxa"/>
            <w:vMerge w:val="restart"/>
            <w:vAlign w:val="center"/>
          </w:tcPr>
          <w:p w14:paraId="1C3613A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“惠企维权政策宣讲”进企业</w:t>
            </w:r>
          </w:p>
        </w:tc>
        <w:tc>
          <w:tcPr>
            <w:tcW w:w="1995" w:type="dxa"/>
            <w:vAlign w:val="center"/>
          </w:tcPr>
          <w:p w14:paraId="69FD348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人力资源服务业政策宣讲</w:t>
            </w:r>
          </w:p>
        </w:tc>
        <w:tc>
          <w:tcPr>
            <w:tcW w:w="5235" w:type="dxa"/>
            <w:vAlign w:val="center"/>
          </w:tcPr>
          <w:p w14:paraId="385B34A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rPr>
              <w:t>结合行业培训活动等，宣传我</w:t>
            </w:r>
            <w:r>
              <w:rPr>
                <w:rFonts w:hint="eastAsia" w:ascii="仿宋_GB2312" w:hAnsi="仿宋_GB2312" w:eastAsia="仿宋_GB2312" w:cs="仿宋_GB2312"/>
                <w:color w:val="auto"/>
                <w:spacing w:val="-11"/>
                <w:sz w:val="28"/>
                <w:szCs w:val="28"/>
                <w:lang w:val="en-US" w:eastAsia="zh-CN"/>
              </w:rPr>
              <w:t>区</w:t>
            </w:r>
            <w:r>
              <w:rPr>
                <w:rFonts w:hint="eastAsia" w:ascii="仿宋_GB2312" w:hAnsi="仿宋_GB2312" w:eastAsia="仿宋_GB2312" w:cs="仿宋_GB2312"/>
                <w:color w:val="auto"/>
                <w:spacing w:val="-11"/>
                <w:sz w:val="28"/>
                <w:szCs w:val="28"/>
              </w:rPr>
              <w:t>人力资源市场建设、人力资源服务业发展政策</w:t>
            </w:r>
            <w:r>
              <w:rPr>
                <w:rFonts w:hint="eastAsia" w:ascii="仿宋_GB2312" w:hAnsi="仿宋_GB2312" w:eastAsia="仿宋_GB2312" w:cs="仿宋_GB2312"/>
                <w:color w:val="auto"/>
                <w:spacing w:val="-11"/>
                <w:sz w:val="28"/>
                <w:szCs w:val="28"/>
                <w:lang w:eastAsia="zh-CN"/>
              </w:rPr>
              <w:t>。</w:t>
            </w:r>
          </w:p>
        </w:tc>
        <w:tc>
          <w:tcPr>
            <w:tcW w:w="825" w:type="dxa"/>
            <w:vAlign w:val="center"/>
          </w:tcPr>
          <w:p w14:paraId="327D448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全年</w:t>
            </w:r>
          </w:p>
        </w:tc>
        <w:tc>
          <w:tcPr>
            <w:tcW w:w="960" w:type="dxa"/>
            <w:vAlign w:val="center"/>
          </w:tcPr>
          <w:p w14:paraId="556C383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vAlign w:val="center"/>
          </w:tcPr>
          <w:p w14:paraId="75CFEC9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人力资源服务机构</w:t>
            </w:r>
          </w:p>
        </w:tc>
        <w:tc>
          <w:tcPr>
            <w:tcW w:w="1035" w:type="dxa"/>
            <w:vAlign w:val="center"/>
          </w:tcPr>
          <w:p w14:paraId="3DB6CF1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多场次</w:t>
            </w:r>
          </w:p>
        </w:tc>
        <w:tc>
          <w:tcPr>
            <w:tcW w:w="1575" w:type="dxa"/>
            <w:vAlign w:val="center"/>
          </w:tcPr>
          <w:p w14:paraId="5FB7F64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就业股</w:t>
            </w:r>
          </w:p>
        </w:tc>
      </w:tr>
      <w:tr w14:paraId="68140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8" w:hRule="atLeast"/>
        </w:trPr>
        <w:tc>
          <w:tcPr>
            <w:tcW w:w="1305" w:type="dxa"/>
            <w:vMerge w:val="continue"/>
            <w:vAlign w:val="center"/>
          </w:tcPr>
          <w:p w14:paraId="462F5FD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vAlign w:val="center"/>
          </w:tcPr>
          <w:p w14:paraId="7C4510B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新就业形态劳动权益保障政策指导</w:t>
            </w:r>
          </w:p>
        </w:tc>
        <w:tc>
          <w:tcPr>
            <w:tcW w:w="5235" w:type="dxa"/>
            <w:vAlign w:val="center"/>
          </w:tcPr>
          <w:p w14:paraId="253AFC6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rPr>
              <w:t>深入开展人社部新就业形态劳动者劳动合同和书面协议订立指引、休息和劳动报酬权益保障指引、劳动规则公示指引、权益维护服务指南的宣讲，广泛开展政策指导及关心关爱活动</w:t>
            </w:r>
            <w:r>
              <w:rPr>
                <w:rFonts w:hint="eastAsia" w:ascii="仿宋_GB2312" w:hAnsi="仿宋_GB2312" w:eastAsia="仿宋_GB2312" w:cs="仿宋_GB2312"/>
                <w:color w:val="auto"/>
                <w:spacing w:val="-11"/>
                <w:sz w:val="28"/>
                <w:szCs w:val="28"/>
                <w:lang w:eastAsia="zh-CN"/>
              </w:rPr>
              <w:t>。</w:t>
            </w:r>
          </w:p>
        </w:tc>
        <w:tc>
          <w:tcPr>
            <w:tcW w:w="825" w:type="dxa"/>
            <w:vAlign w:val="center"/>
          </w:tcPr>
          <w:p w14:paraId="135EECC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全年</w:t>
            </w:r>
          </w:p>
        </w:tc>
        <w:tc>
          <w:tcPr>
            <w:tcW w:w="960" w:type="dxa"/>
            <w:vAlign w:val="center"/>
          </w:tcPr>
          <w:p w14:paraId="63329F3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r>
              <w:rPr>
                <w:rFonts w:hint="eastAsia" w:ascii="仿宋_GB2312" w:hAnsi="仿宋_GB2312" w:eastAsia="仿宋_GB2312" w:cs="仿宋_GB2312"/>
                <w:color w:val="auto"/>
                <w:spacing w:val="-11"/>
                <w:sz w:val="28"/>
                <w:szCs w:val="28"/>
              </w:rPr>
              <w:t>（线上</w:t>
            </w:r>
            <w:r>
              <w:rPr>
                <w:rFonts w:hint="eastAsia" w:ascii="仿宋_GB2312" w:hAnsi="仿宋_GB2312" w:eastAsia="仿宋_GB2312" w:cs="仿宋_GB2312"/>
                <w:color w:val="auto"/>
                <w:spacing w:val="-11"/>
                <w:sz w:val="28"/>
                <w:szCs w:val="28"/>
                <w:lang w:val="en-US" w:eastAsia="zh-CN"/>
              </w:rPr>
              <w:t>+线</w:t>
            </w:r>
            <w:r>
              <w:rPr>
                <w:rFonts w:hint="eastAsia" w:ascii="仿宋_GB2312" w:hAnsi="仿宋_GB2312" w:eastAsia="仿宋_GB2312" w:cs="仿宋_GB2312"/>
                <w:color w:val="auto"/>
                <w:spacing w:val="-11"/>
                <w:sz w:val="28"/>
                <w:szCs w:val="28"/>
              </w:rPr>
              <w:t>下）</w:t>
            </w:r>
          </w:p>
        </w:tc>
        <w:tc>
          <w:tcPr>
            <w:tcW w:w="2115" w:type="dxa"/>
            <w:vAlign w:val="center"/>
          </w:tcPr>
          <w:p w14:paraId="7658681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平台企业及新就业形态劳动者</w:t>
            </w:r>
          </w:p>
        </w:tc>
        <w:tc>
          <w:tcPr>
            <w:tcW w:w="1035" w:type="dxa"/>
            <w:vAlign w:val="center"/>
          </w:tcPr>
          <w:p w14:paraId="3CA5F9C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多场次</w:t>
            </w:r>
          </w:p>
        </w:tc>
        <w:tc>
          <w:tcPr>
            <w:tcW w:w="1575" w:type="dxa"/>
            <w:vAlign w:val="center"/>
          </w:tcPr>
          <w:p w14:paraId="18AD3C0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监察股、维权中心</w:t>
            </w:r>
          </w:p>
        </w:tc>
      </w:tr>
      <w:tr w14:paraId="73580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305" w:type="dxa"/>
            <w:vMerge w:val="continue"/>
            <w:shd w:val="clear" w:color="auto" w:fill="auto"/>
            <w:vAlign w:val="center"/>
          </w:tcPr>
          <w:p w14:paraId="298E412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p>
        </w:tc>
        <w:tc>
          <w:tcPr>
            <w:tcW w:w="1995" w:type="dxa"/>
            <w:shd w:val="clear" w:color="auto" w:fill="auto"/>
            <w:vAlign w:val="center"/>
          </w:tcPr>
          <w:p w14:paraId="1B2579A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工伤预防培训与宣传</w:t>
            </w:r>
          </w:p>
        </w:tc>
        <w:tc>
          <w:tcPr>
            <w:tcW w:w="5235" w:type="dxa"/>
            <w:shd w:val="clear" w:color="auto" w:fill="auto"/>
            <w:vAlign w:val="center"/>
          </w:tcPr>
          <w:p w14:paraId="30BE451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持续推进工伤预防宣传与培训</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20A4ABD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全年</w:t>
            </w:r>
          </w:p>
        </w:tc>
        <w:tc>
          <w:tcPr>
            <w:tcW w:w="960" w:type="dxa"/>
            <w:shd w:val="clear" w:color="auto" w:fill="auto"/>
            <w:vAlign w:val="center"/>
          </w:tcPr>
          <w:p w14:paraId="771F857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shd w:val="clear" w:color="auto" w:fill="auto"/>
            <w:vAlign w:val="center"/>
          </w:tcPr>
          <w:p w14:paraId="31C5B19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各类用人单位和从业人员</w:t>
            </w:r>
          </w:p>
        </w:tc>
        <w:tc>
          <w:tcPr>
            <w:tcW w:w="1035" w:type="dxa"/>
            <w:shd w:val="clear" w:color="auto" w:fill="auto"/>
            <w:vAlign w:val="center"/>
          </w:tcPr>
          <w:p w14:paraId="2145CEB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多场次</w:t>
            </w:r>
          </w:p>
        </w:tc>
        <w:tc>
          <w:tcPr>
            <w:tcW w:w="1575" w:type="dxa"/>
            <w:shd w:val="clear" w:color="auto" w:fill="auto"/>
            <w:vAlign w:val="center"/>
          </w:tcPr>
          <w:p w14:paraId="0D4CEA4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法治股、</w:t>
            </w:r>
            <w:r>
              <w:rPr>
                <w:rFonts w:hint="eastAsia" w:ascii="仿宋_GB2312" w:hAnsi="仿宋_GB2312" w:eastAsia="仿宋_GB2312" w:cs="仿宋_GB2312"/>
                <w:color w:val="auto"/>
                <w:spacing w:val="-11"/>
                <w:sz w:val="28"/>
                <w:szCs w:val="28"/>
                <w:lang w:eastAsia="zh-CN"/>
              </w:rPr>
              <w:t>社保局</w:t>
            </w:r>
          </w:p>
        </w:tc>
      </w:tr>
      <w:tr w14:paraId="2C03A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9" w:hRule="atLeast"/>
        </w:trPr>
        <w:tc>
          <w:tcPr>
            <w:tcW w:w="1305" w:type="dxa"/>
            <w:vMerge w:val="continue"/>
            <w:vAlign w:val="center"/>
          </w:tcPr>
          <w:p w14:paraId="2BE2A2F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shd w:val="clear" w:color="auto" w:fill="auto"/>
            <w:vAlign w:val="center"/>
          </w:tcPr>
          <w:p w14:paraId="48F6691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关心“养老钱”、守护“保命钱”，社保基金监管伴你同行</w:t>
            </w:r>
          </w:p>
        </w:tc>
        <w:tc>
          <w:tcPr>
            <w:tcW w:w="5235" w:type="dxa"/>
            <w:shd w:val="clear" w:color="auto" w:fill="auto"/>
            <w:vAlign w:val="center"/>
          </w:tcPr>
          <w:p w14:paraId="2884F6A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印发《社保欺诈骗保警示教育宣传册》，深入一线用人</w:t>
            </w:r>
            <w:r>
              <w:rPr>
                <w:rFonts w:hint="eastAsia" w:ascii="仿宋_GB2312" w:hAnsi="仿宋_GB2312" w:eastAsia="仿宋_GB2312" w:cs="仿宋_GB2312"/>
                <w:color w:val="auto"/>
                <w:spacing w:val="-11"/>
                <w:sz w:val="28"/>
                <w:szCs w:val="28"/>
                <w:lang w:val="en-US" w:eastAsia="zh-CN"/>
              </w:rPr>
              <w:t>单位</w:t>
            </w:r>
            <w:r>
              <w:rPr>
                <w:rFonts w:hint="eastAsia" w:ascii="仿宋_GB2312" w:hAnsi="仿宋_GB2312" w:eastAsia="仿宋_GB2312" w:cs="仿宋_GB2312"/>
                <w:color w:val="auto"/>
                <w:spacing w:val="-11"/>
                <w:sz w:val="28"/>
                <w:szCs w:val="28"/>
              </w:rPr>
              <w:t>，开展社保基金监督法律法规宣传</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4F21FC9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全年</w:t>
            </w:r>
          </w:p>
        </w:tc>
        <w:tc>
          <w:tcPr>
            <w:tcW w:w="960" w:type="dxa"/>
            <w:shd w:val="clear" w:color="auto" w:fill="auto"/>
            <w:vAlign w:val="center"/>
          </w:tcPr>
          <w:p w14:paraId="3097464C">
            <w:pPr>
              <w:pStyle w:val="9"/>
              <w:keepNext w:val="0"/>
              <w:keepLines w:val="0"/>
              <w:pageBreakBefore w:val="0"/>
              <w:widowControl/>
              <w:tabs>
                <w:tab w:val="left" w:pos="450"/>
              </w:tabs>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shd w:val="clear" w:color="auto" w:fill="auto"/>
            <w:vAlign w:val="center"/>
          </w:tcPr>
          <w:p w14:paraId="2D83A8B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企事业单位社保专员和参保职工</w:t>
            </w:r>
          </w:p>
        </w:tc>
        <w:tc>
          <w:tcPr>
            <w:tcW w:w="1035" w:type="dxa"/>
            <w:shd w:val="clear" w:color="auto" w:fill="auto"/>
            <w:vAlign w:val="center"/>
          </w:tcPr>
          <w:p w14:paraId="45E0AEA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多场次</w:t>
            </w:r>
          </w:p>
        </w:tc>
        <w:tc>
          <w:tcPr>
            <w:tcW w:w="1575" w:type="dxa"/>
            <w:shd w:val="clear" w:color="auto" w:fill="auto"/>
            <w:vAlign w:val="center"/>
          </w:tcPr>
          <w:p w14:paraId="4F337B9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
                <w:woUserID w:val="8"/>
              </w:rPr>
              <w:t>基金监管中心</w:t>
            </w:r>
            <w:r>
              <w:rPr>
                <w:rFonts w:hint="eastAsia" w:ascii="仿宋_GB2312" w:hAnsi="仿宋_GB2312" w:eastAsia="仿宋_GB2312" w:cs="仿宋_GB2312"/>
                <w:color w:val="auto"/>
                <w:spacing w:val="-11"/>
                <w:sz w:val="28"/>
                <w:szCs w:val="28"/>
                <w:lang w:val="en-US" w:eastAsia="zh-CN"/>
              </w:rPr>
              <w:t>、社保局</w:t>
            </w:r>
          </w:p>
        </w:tc>
      </w:tr>
      <w:tr w14:paraId="5A461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3" w:hRule="atLeast"/>
        </w:trPr>
        <w:tc>
          <w:tcPr>
            <w:tcW w:w="1305" w:type="dxa"/>
            <w:vMerge w:val="continue"/>
            <w:vAlign w:val="center"/>
          </w:tcPr>
          <w:p w14:paraId="58314A1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shd w:val="clear" w:color="auto" w:fill="auto"/>
            <w:vAlign w:val="center"/>
          </w:tcPr>
          <w:p w14:paraId="3B6545C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千名仲裁员服务万企</w:t>
            </w:r>
          </w:p>
        </w:tc>
        <w:tc>
          <w:tcPr>
            <w:tcW w:w="5235" w:type="dxa"/>
            <w:shd w:val="clear" w:color="auto" w:fill="auto"/>
            <w:vAlign w:val="center"/>
          </w:tcPr>
          <w:p w14:paraId="184884B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开展《劳动法》《劳动合同法》</w:t>
            </w:r>
            <w:r>
              <w:rPr>
                <w:rFonts w:hint="eastAsia" w:ascii="仿宋_GB2312" w:hAnsi="仿宋_GB2312" w:eastAsia="仿宋_GB2312" w:cs="仿宋_GB2312"/>
                <w:color w:val="auto"/>
                <w:spacing w:val="-11"/>
                <w:sz w:val="28"/>
                <w:szCs w:val="28"/>
                <w:lang w:eastAsia="zh-CN"/>
              </w:rPr>
              <w:t>《</w:t>
            </w:r>
            <w:r>
              <w:rPr>
                <w:rFonts w:hint="eastAsia" w:ascii="仿宋_GB2312" w:hAnsi="仿宋_GB2312" w:eastAsia="仿宋_GB2312" w:cs="仿宋_GB2312"/>
                <w:color w:val="auto"/>
                <w:spacing w:val="-11"/>
                <w:sz w:val="28"/>
                <w:szCs w:val="28"/>
                <w:lang w:val="en-US" w:eastAsia="zh-CN"/>
              </w:rPr>
              <w:t>调解仲裁法</w:t>
            </w:r>
            <w:r>
              <w:rPr>
                <w:rFonts w:hint="eastAsia" w:ascii="仿宋_GB2312" w:hAnsi="仿宋_GB2312" w:eastAsia="仿宋_GB2312" w:cs="仿宋_GB2312"/>
                <w:color w:val="auto"/>
                <w:spacing w:val="-11"/>
                <w:sz w:val="28"/>
                <w:szCs w:val="28"/>
                <w:lang w:eastAsia="zh-CN"/>
              </w:rPr>
              <w:t>》</w:t>
            </w:r>
            <w:r>
              <w:rPr>
                <w:rFonts w:hint="eastAsia" w:ascii="仿宋_GB2312" w:hAnsi="仿宋_GB2312" w:eastAsia="仿宋_GB2312" w:cs="仿宋_GB2312"/>
                <w:color w:val="auto"/>
                <w:spacing w:val="-11"/>
                <w:sz w:val="28"/>
                <w:szCs w:val="28"/>
              </w:rPr>
              <w:t>等法律法规宣传，印发政策宣传手册；指导企业建立健全调解组织，举办劳动人事争议调解员培训等</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16CFA69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全年</w:t>
            </w:r>
          </w:p>
        </w:tc>
        <w:tc>
          <w:tcPr>
            <w:tcW w:w="960" w:type="dxa"/>
            <w:shd w:val="clear" w:color="auto" w:fill="auto"/>
            <w:vAlign w:val="center"/>
          </w:tcPr>
          <w:p w14:paraId="634A99B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r>
              <w:rPr>
                <w:rFonts w:hint="eastAsia" w:ascii="仿宋_GB2312" w:hAnsi="仿宋_GB2312" w:eastAsia="仿宋_GB2312" w:cs="仿宋_GB2312"/>
                <w:color w:val="auto"/>
                <w:spacing w:val="-11"/>
                <w:sz w:val="28"/>
                <w:szCs w:val="28"/>
              </w:rPr>
              <w:t>（线上</w:t>
            </w:r>
            <w:r>
              <w:rPr>
                <w:rFonts w:hint="eastAsia" w:ascii="仿宋_GB2312" w:hAnsi="仿宋_GB2312" w:eastAsia="仿宋_GB2312" w:cs="仿宋_GB2312"/>
                <w:color w:val="auto"/>
                <w:spacing w:val="-11"/>
                <w:sz w:val="28"/>
                <w:szCs w:val="28"/>
                <w:lang w:val="en-US" w:eastAsia="zh-CN"/>
              </w:rPr>
              <w:t>+</w:t>
            </w:r>
            <w:r>
              <w:rPr>
                <w:rFonts w:hint="eastAsia" w:ascii="仿宋_GB2312" w:hAnsi="仿宋_GB2312" w:eastAsia="仿宋_GB2312" w:cs="仿宋_GB2312"/>
                <w:color w:val="auto"/>
                <w:spacing w:val="-11"/>
                <w:sz w:val="28"/>
                <w:szCs w:val="28"/>
              </w:rPr>
              <w:t>线下）</w:t>
            </w:r>
          </w:p>
        </w:tc>
        <w:tc>
          <w:tcPr>
            <w:tcW w:w="2115" w:type="dxa"/>
            <w:shd w:val="clear" w:color="auto" w:fill="auto"/>
            <w:vAlign w:val="center"/>
          </w:tcPr>
          <w:p w14:paraId="02259AC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企事业单位及职工、劳动者</w:t>
            </w:r>
          </w:p>
        </w:tc>
        <w:tc>
          <w:tcPr>
            <w:tcW w:w="1035" w:type="dxa"/>
            <w:shd w:val="clear" w:color="auto" w:fill="auto"/>
            <w:vAlign w:val="center"/>
          </w:tcPr>
          <w:p w14:paraId="6BCB4AD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多场次</w:t>
            </w:r>
          </w:p>
        </w:tc>
        <w:tc>
          <w:tcPr>
            <w:tcW w:w="1575" w:type="dxa"/>
            <w:shd w:val="clear" w:color="auto" w:fill="auto"/>
            <w:vAlign w:val="center"/>
          </w:tcPr>
          <w:p w14:paraId="2D34EF8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监察股、</w:t>
            </w:r>
            <w:r>
              <w:rPr>
                <w:rFonts w:hint="eastAsia" w:ascii="仿宋_GB2312" w:hAnsi="仿宋_GB2312" w:eastAsia="仿宋_GB2312" w:cs="仿宋_GB2312"/>
                <w:color w:val="auto"/>
                <w:spacing w:val="-11"/>
                <w:sz w:val="28"/>
                <w:szCs w:val="28"/>
                <w:lang w:eastAsia="zh-CN"/>
              </w:rPr>
              <w:t>仲裁院</w:t>
            </w:r>
          </w:p>
        </w:tc>
      </w:tr>
      <w:tr w14:paraId="55FCE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1305" w:type="dxa"/>
            <w:vMerge w:val="continue"/>
            <w:vAlign w:val="center"/>
          </w:tcPr>
          <w:p w14:paraId="17B0E9C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shd w:val="clear" w:color="auto" w:fill="auto"/>
            <w:vAlign w:val="center"/>
          </w:tcPr>
          <w:p w14:paraId="1D8E09C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青年仲裁员志愿者联系企业</w:t>
            </w:r>
          </w:p>
        </w:tc>
        <w:tc>
          <w:tcPr>
            <w:tcW w:w="5235" w:type="dxa"/>
            <w:shd w:val="clear" w:color="auto" w:fill="auto"/>
            <w:vAlign w:val="center"/>
          </w:tcPr>
          <w:p w14:paraId="4B2A7BA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开展调研调查，了解企业需求，加强用工指导，开展人社法律法规宣传，组织仲裁庭审观摩等</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6D6D506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全年</w:t>
            </w:r>
          </w:p>
        </w:tc>
        <w:tc>
          <w:tcPr>
            <w:tcW w:w="960" w:type="dxa"/>
            <w:shd w:val="clear" w:color="auto" w:fill="auto"/>
            <w:vAlign w:val="center"/>
          </w:tcPr>
          <w:p w14:paraId="24F7D2C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r>
              <w:rPr>
                <w:rFonts w:hint="eastAsia" w:ascii="仿宋_GB2312" w:hAnsi="仿宋_GB2312" w:eastAsia="仿宋_GB2312" w:cs="仿宋_GB2312"/>
                <w:color w:val="auto"/>
                <w:spacing w:val="-11"/>
                <w:sz w:val="28"/>
                <w:szCs w:val="28"/>
              </w:rPr>
              <w:t>（线上</w:t>
            </w:r>
            <w:r>
              <w:rPr>
                <w:rFonts w:hint="eastAsia" w:ascii="仿宋_GB2312" w:hAnsi="仿宋_GB2312" w:eastAsia="仿宋_GB2312" w:cs="仿宋_GB2312"/>
                <w:color w:val="auto"/>
                <w:spacing w:val="-11"/>
                <w:sz w:val="28"/>
                <w:szCs w:val="28"/>
                <w:lang w:val="en-US" w:eastAsia="zh-CN"/>
              </w:rPr>
              <w:t>+</w:t>
            </w:r>
            <w:r>
              <w:rPr>
                <w:rFonts w:hint="eastAsia" w:ascii="仿宋_GB2312" w:hAnsi="仿宋_GB2312" w:eastAsia="仿宋_GB2312" w:cs="仿宋_GB2312"/>
                <w:color w:val="auto"/>
                <w:spacing w:val="-11"/>
                <w:sz w:val="28"/>
                <w:szCs w:val="28"/>
              </w:rPr>
              <w:t>线下）</w:t>
            </w:r>
          </w:p>
        </w:tc>
        <w:tc>
          <w:tcPr>
            <w:tcW w:w="2115" w:type="dxa"/>
            <w:shd w:val="clear" w:color="auto" w:fill="auto"/>
            <w:vAlign w:val="center"/>
          </w:tcPr>
          <w:p w14:paraId="01D0B8A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企事业单位及职工、劳动者</w:t>
            </w:r>
          </w:p>
        </w:tc>
        <w:tc>
          <w:tcPr>
            <w:tcW w:w="1035" w:type="dxa"/>
            <w:shd w:val="clear" w:color="auto" w:fill="auto"/>
            <w:vAlign w:val="center"/>
          </w:tcPr>
          <w:p w14:paraId="3BE8474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多场次</w:t>
            </w:r>
          </w:p>
        </w:tc>
        <w:tc>
          <w:tcPr>
            <w:tcW w:w="1575" w:type="dxa"/>
            <w:shd w:val="clear" w:color="auto" w:fill="auto"/>
            <w:vAlign w:val="center"/>
          </w:tcPr>
          <w:p w14:paraId="1701A16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监察股、</w:t>
            </w:r>
            <w:r>
              <w:rPr>
                <w:rFonts w:hint="eastAsia" w:ascii="仿宋_GB2312" w:hAnsi="仿宋_GB2312" w:eastAsia="仿宋_GB2312" w:cs="仿宋_GB2312"/>
                <w:color w:val="auto"/>
                <w:spacing w:val="-11"/>
                <w:sz w:val="28"/>
                <w:szCs w:val="28"/>
                <w:lang w:eastAsia="zh-CN"/>
              </w:rPr>
              <w:t>仲裁院</w:t>
            </w:r>
          </w:p>
        </w:tc>
      </w:tr>
      <w:tr w14:paraId="1C75A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1305" w:type="dxa"/>
            <w:vMerge w:val="continue"/>
            <w:vAlign w:val="center"/>
          </w:tcPr>
          <w:p w14:paraId="65DFA40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shd w:val="clear" w:color="auto" w:fill="auto"/>
            <w:vAlign w:val="center"/>
          </w:tcPr>
          <w:p w14:paraId="4AC957A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稳岗返还政策宣传</w:t>
            </w:r>
          </w:p>
        </w:tc>
        <w:tc>
          <w:tcPr>
            <w:tcW w:w="5235" w:type="dxa"/>
            <w:shd w:val="clear" w:color="auto" w:fill="auto"/>
            <w:vAlign w:val="center"/>
          </w:tcPr>
          <w:p w14:paraId="4C03305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向曾都区参保企业宣讲稳岗返还政策规定，重点就政策变化，“免申即享”模式，人力资源服务企业享受办法等作出详细解读</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4C6FA30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5-6月</w:t>
            </w:r>
          </w:p>
        </w:tc>
        <w:tc>
          <w:tcPr>
            <w:tcW w:w="960" w:type="dxa"/>
            <w:shd w:val="clear" w:color="auto" w:fill="auto"/>
            <w:vAlign w:val="center"/>
          </w:tcPr>
          <w:p w14:paraId="746CCAF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全区</w:t>
            </w:r>
          </w:p>
        </w:tc>
        <w:tc>
          <w:tcPr>
            <w:tcW w:w="2115" w:type="dxa"/>
            <w:shd w:val="clear" w:color="auto" w:fill="auto"/>
            <w:vAlign w:val="center"/>
          </w:tcPr>
          <w:p w14:paraId="13FD869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lang w:val="en-US" w:eastAsia="zh-CN"/>
              </w:rPr>
              <w:t>曾都区</w:t>
            </w:r>
            <w:r>
              <w:rPr>
                <w:rFonts w:hint="eastAsia" w:ascii="仿宋_GB2312" w:hAnsi="仿宋_GB2312" w:eastAsia="仿宋_GB2312" w:cs="仿宋_GB2312"/>
                <w:color w:val="auto"/>
                <w:spacing w:val="-11"/>
                <w:sz w:val="28"/>
                <w:szCs w:val="28"/>
              </w:rPr>
              <w:t>参保企业</w:t>
            </w:r>
          </w:p>
        </w:tc>
        <w:tc>
          <w:tcPr>
            <w:tcW w:w="1035" w:type="dxa"/>
            <w:shd w:val="clear" w:color="auto" w:fill="auto"/>
            <w:vAlign w:val="center"/>
          </w:tcPr>
          <w:p w14:paraId="0D75C4D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1场</w:t>
            </w:r>
          </w:p>
        </w:tc>
        <w:tc>
          <w:tcPr>
            <w:tcW w:w="1575" w:type="dxa"/>
            <w:shd w:val="clear" w:color="auto" w:fill="auto"/>
            <w:vAlign w:val="center"/>
          </w:tcPr>
          <w:p w14:paraId="0E5C7DF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就业股、就业局</w:t>
            </w:r>
          </w:p>
        </w:tc>
      </w:tr>
      <w:tr w14:paraId="586A3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0" w:hRule="atLeast"/>
        </w:trPr>
        <w:tc>
          <w:tcPr>
            <w:tcW w:w="1305" w:type="dxa"/>
            <w:vMerge w:val="restart"/>
            <w:shd w:val="clear" w:color="auto" w:fill="auto"/>
            <w:vAlign w:val="center"/>
          </w:tcPr>
          <w:p w14:paraId="14AD80A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“就业创业政策宣讲”</w:t>
            </w:r>
          </w:p>
          <w:p w14:paraId="367C451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进校园</w:t>
            </w:r>
          </w:p>
        </w:tc>
        <w:tc>
          <w:tcPr>
            <w:tcW w:w="1995" w:type="dxa"/>
            <w:shd w:val="clear" w:color="auto" w:fill="auto"/>
            <w:vAlign w:val="center"/>
          </w:tcPr>
          <w:p w14:paraId="41B8E6D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就业创业政策宣讲</w:t>
            </w:r>
          </w:p>
        </w:tc>
        <w:tc>
          <w:tcPr>
            <w:tcW w:w="5235" w:type="dxa"/>
            <w:shd w:val="clear" w:color="auto" w:fill="auto"/>
            <w:vAlign w:val="center"/>
          </w:tcPr>
          <w:p w14:paraId="3F71F14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宣传高校毕业生就业创业政策和大学生创业扶持项目申报等政策</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68658FC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5月</w:t>
            </w:r>
          </w:p>
        </w:tc>
        <w:tc>
          <w:tcPr>
            <w:tcW w:w="960" w:type="dxa"/>
            <w:shd w:val="clear" w:color="auto" w:fill="auto"/>
            <w:vAlign w:val="center"/>
          </w:tcPr>
          <w:p w14:paraId="6E37358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shd w:val="clear" w:color="auto" w:fill="auto"/>
            <w:vAlign w:val="center"/>
          </w:tcPr>
          <w:p w14:paraId="4BCAE1A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高校毕业生</w:t>
            </w:r>
          </w:p>
        </w:tc>
        <w:tc>
          <w:tcPr>
            <w:tcW w:w="1035" w:type="dxa"/>
            <w:shd w:val="clear" w:color="auto" w:fill="auto"/>
            <w:vAlign w:val="center"/>
          </w:tcPr>
          <w:p w14:paraId="6F2A11D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1场</w:t>
            </w:r>
          </w:p>
        </w:tc>
        <w:tc>
          <w:tcPr>
            <w:tcW w:w="1575" w:type="dxa"/>
            <w:shd w:val="clear" w:color="auto" w:fill="auto"/>
            <w:vAlign w:val="center"/>
          </w:tcPr>
          <w:p w14:paraId="2EC930A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就业股、就业局</w:t>
            </w:r>
          </w:p>
        </w:tc>
      </w:tr>
      <w:tr w14:paraId="734DC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1305" w:type="dxa"/>
            <w:vMerge w:val="continue"/>
            <w:vAlign w:val="center"/>
          </w:tcPr>
          <w:p w14:paraId="6B5DEA6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shd w:val="clear" w:color="auto" w:fill="auto"/>
            <w:vAlign w:val="center"/>
          </w:tcPr>
          <w:p w14:paraId="77124DB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“三支一扶”政策宣讲</w:t>
            </w:r>
          </w:p>
        </w:tc>
        <w:tc>
          <w:tcPr>
            <w:tcW w:w="5235" w:type="dxa"/>
            <w:shd w:val="clear" w:color="auto" w:fill="auto"/>
            <w:vAlign w:val="center"/>
          </w:tcPr>
          <w:p w14:paraId="67B0F4A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通过印发宣传册、现场宣讲等方式，宣传“三支一扶”政策</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06A15FB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4月</w:t>
            </w:r>
          </w:p>
        </w:tc>
        <w:tc>
          <w:tcPr>
            <w:tcW w:w="960" w:type="dxa"/>
            <w:shd w:val="clear" w:color="auto" w:fill="auto"/>
            <w:vAlign w:val="center"/>
          </w:tcPr>
          <w:p w14:paraId="2C92A5F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tc>
        <w:tc>
          <w:tcPr>
            <w:tcW w:w="2115" w:type="dxa"/>
            <w:shd w:val="clear" w:color="auto" w:fill="auto"/>
            <w:vAlign w:val="center"/>
          </w:tcPr>
          <w:p w14:paraId="352A7B1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高校毕业生</w:t>
            </w:r>
          </w:p>
        </w:tc>
        <w:tc>
          <w:tcPr>
            <w:tcW w:w="1035" w:type="dxa"/>
            <w:shd w:val="clear" w:color="auto" w:fill="auto"/>
            <w:vAlign w:val="center"/>
          </w:tcPr>
          <w:p w14:paraId="60AD9C8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多场次</w:t>
            </w:r>
          </w:p>
        </w:tc>
        <w:tc>
          <w:tcPr>
            <w:tcW w:w="1575" w:type="dxa"/>
            <w:shd w:val="clear" w:color="auto" w:fill="auto"/>
            <w:vAlign w:val="center"/>
          </w:tcPr>
          <w:p w14:paraId="1D9BD08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事业股</w:t>
            </w:r>
          </w:p>
        </w:tc>
      </w:tr>
      <w:tr w14:paraId="3AA63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8" w:hRule="atLeast"/>
        </w:trPr>
        <w:tc>
          <w:tcPr>
            <w:tcW w:w="1305" w:type="dxa"/>
            <w:vMerge w:val="continue"/>
            <w:vAlign w:val="center"/>
          </w:tcPr>
          <w:p w14:paraId="6F19662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shd w:val="clear" w:color="auto" w:fill="auto"/>
            <w:vAlign w:val="center"/>
          </w:tcPr>
          <w:p w14:paraId="03F4C78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both"/>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事业单位公开招聘高校毕业生</w:t>
            </w:r>
          </w:p>
        </w:tc>
        <w:tc>
          <w:tcPr>
            <w:tcW w:w="5235" w:type="dxa"/>
            <w:shd w:val="clear" w:color="auto" w:fill="auto"/>
            <w:vAlign w:val="center"/>
          </w:tcPr>
          <w:p w14:paraId="4266A4C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深入宣讲事业单位公开招聘高校毕业生政策，广泛推介招聘信息，增加高校毕业生应聘机会</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35A6669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2-5月</w:t>
            </w:r>
          </w:p>
        </w:tc>
        <w:tc>
          <w:tcPr>
            <w:tcW w:w="960" w:type="dxa"/>
            <w:shd w:val="clear" w:color="auto" w:fill="auto"/>
            <w:vAlign w:val="center"/>
          </w:tcPr>
          <w:p w14:paraId="41F33A5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全</w:t>
            </w:r>
            <w:r>
              <w:rPr>
                <w:rFonts w:hint="eastAsia" w:ascii="仿宋_GB2312" w:hAnsi="仿宋_GB2312" w:eastAsia="仿宋_GB2312" w:cs="仿宋_GB2312"/>
                <w:color w:val="auto"/>
                <w:spacing w:val="-11"/>
                <w:sz w:val="28"/>
                <w:szCs w:val="28"/>
                <w:lang w:val="en-US" w:eastAsia="zh-CN"/>
              </w:rPr>
              <w:t>区</w:t>
            </w:r>
          </w:p>
          <w:p w14:paraId="674B4C5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eastAsia="zh-CN"/>
              </w:rPr>
              <w:t>（</w:t>
            </w:r>
            <w:r>
              <w:rPr>
                <w:rFonts w:hint="eastAsia" w:ascii="仿宋_GB2312" w:hAnsi="仿宋_GB2312" w:eastAsia="仿宋_GB2312" w:cs="仿宋_GB2312"/>
                <w:color w:val="auto"/>
                <w:spacing w:val="-11"/>
                <w:sz w:val="28"/>
                <w:szCs w:val="28"/>
              </w:rPr>
              <w:t>线上</w:t>
            </w:r>
            <w:r>
              <w:rPr>
                <w:rFonts w:hint="eastAsia" w:ascii="仿宋_GB2312" w:hAnsi="仿宋_GB2312" w:eastAsia="仿宋_GB2312" w:cs="仿宋_GB2312"/>
                <w:color w:val="auto"/>
                <w:spacing w:val="-11"/>
                <w:sz w:val="28"/>
                <w:szCs w:val="28"/>
                <w:lang w:val="en-US" w:eastAsia="zh-CN"/>
              </w:rPr>
              <w:t>+</w:t>
            </w:r>
            <w:r>
              <w:rPr>
                <w:rFonts w:hint="eastAsia" w:ascii="仿宋_GB2312" w:hAnsi="仿宋_GB2312" w:eastAsia="仿宋_GB2312" w:cs="仿宋_GB2312"/>
                <w:color w:val="auto"/>
                <w:spacing w:val="-11"/>
                <w:sz w:val="28"/>
                <w:szCs w:val="28"/>
              </w:rPr>
              <w:t>线下</w:t>
            </w:r>
            <w:r>
              <w:rPr>
                <w:rFonts w:hint="eastAsia" w:ascii="仿宋_GB2312" w:hAnsi="仿宋_GB2312" w:eastAsia="仿宋_GB2312" w:cs="仿宋_GB2312"/>
                <w:color w:val="auto"/>
                <w:spacing w:val="-11"/>
                <w:sz w:val="28"/>
                <w:szCs w:val="28"/>
                <w:lang w:eastAsia="zh-CN"/>
              </w:rPr>
              <w:t>）</w:t>
            </w:r>
          </w:p>
        </w:tc>
        <w:tc>
          <w:tcPr>
            <w:tcW w:w="2115" w:type="dxa"/>
            <w:shd w:val="clear" w:color="auto" w:fill="auto"/>
            <w:vAlign w:val="center"/>
          </w:tcPr>
          <w:p w14:paraId="1B96B24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高校毕业生</w:t>
            </w:r>
          </w:p>
        </w:tc>
        <w:tc>
          <w:tcPr>
            <w:tcW w:w="1035" w:type="dxa"/>
            <w:shd w:val="clear" w:color="auto" w:fill="auto"/>
            <w:vAlign w:val="center"/>
          </w:tcPr>
          <w:p w14:paraId="111CB31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多场次</w:t>
            </w:r>
          </w:p>
        </w:tc>
        <w:tc>
          <w:tcPr>
            <w:tcW w:w="1575" w:type="dxa"/>
            <w:shd w:val="clear" w:color="auto" w:fill="auto"/>
            <w:vAlign w:val="center"/>
          </w:tcPr>
          <w:p w14:paraId="773219A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人才局</w:t>
            </w:r>
          </w:p>
        </w:tc>
      </w:tr>
      <w:tr w14:paraId="685B1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1305" w:type="dxa"/>
            <w:vMerge w:val="continue"/>
            <w:shd w:val="clear" w:color="auto" w:fill="auto"/>
            <w:vAlign w:val="center"/>
          </w:tcPr>
          <w:p w14:paraId="010F25D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p>
        </w:tc>
        <w:tc>
          <w:tcPr>
            <w:tcW w:w="1995" w:type="dxa"/>
            <w:vMerge w:val="restart"/>
            <w:shd w:val="clear" w:color="auto" w:fill="auto"/>
            <w:vAlign w:val="center"/>
          </w:tcPr>
          <w:p w14:paraId="35CED1E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就业创业政策</w:t>
            </w:r>
          </w:p>
          <w:p w14:paraId="5DA2AF5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宣讲</w:t>
            </w:r>
          </w:p>
        </w:tc>
        <w:tc>
          <w:tcPr>
            <w:tcW w:w="5235" w:type="dxa"/>
            <w:shd w:val="clear" w:color="auto" w:fill="auto"/>
            <w:vAlign w:val="center"/>
          </w:tcPr>
          <w:p w14:paraId="13DD348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宣传《湖北省级大学生创业孵化示范基地认定和管理办法（试行）》以及创业政策解读</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157483B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6月</w:t>
            </w:r>
          </w:p>
        </w:tc>
        <w:tc>
          <w:tcPr>
            <w:tcW w:w="960" w:type="dxa"/>
            <w:shd w:val="clear" w:color="auto" w:fill="auto"/>
            <w:vAlign w:val="center"/>
          </w:tcPr>
          <w:p w14:paraId="2E675C1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曾都区范围内</w:t>
            </w:r>
            <w:r>
              <w:rPr>
                <w:rFonts w:hint="eastAsia" w:ascii="仿宋_GB2312" w:hAnsi="仿宋_GB2312" w:eastAsia="仿宋_GB2312" w:cs="仿宋_GB2312"/>
                <w:color w:val="auto"/>
                <w:spacing w:val="-11"/>
                <w:sz w:val="28"/>
                <w:szCs w:val="28"/>
              </w:rPr>
              <w:t>高校</w:t>
            </w:r>
          </w:p>
        </w:tc>
        <w:tc>
          <w:tcPr>
            <w:tcW w:w="2115" w:type="dxa"/>
            <w:shd w:val="clear" w:color="auto" w:fill="auto"/>
            <w:vAlign w:val="center"/>
          </w:tcPr>
          <w:p w14:paraId="3D869E7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p w14:paraId="2278C99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高校毕业生</w:t>
            </w:r>
          </w:p>
        </w:tc>
        <w:tc>
          <w:tcPr>
            <w:tcW w:w="1035" w:type="dxa"/>
            <w:shd w:val="clear" w:color="auto" w:fill="auto"/>
            <w:vAlign w:val="center"/>
          </w:tcPr>
          <w:p w14:paraId="3FC56D5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p w14:paraId="7B9C06E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1场</w:t>
            </w:r>
          </w:p>
        </w:tc>
        <w:tc>
          <w:tcPr>
            <w:tcW w:w="1575" w:type="dxa"/>
            <w:shd w:val="clear" w:color="auto" w:fill="auto"/>
            <w:vAlign w:val="center"/>
          </w:tcPr>
          <w:p w14:paraId="438548C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p w14:paraId="6DC007C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就业股、就业局</w:t>
            </w:r>
          </w:p>
        </w:tc>
      </w:tr>
      <w:tr w14:paraId="25531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1305" w:type="dxa"/>
            <w:vMerge w:val="continue"/>
            <w:vAlign w:val="center"/>
          </w:tcPr>
          <w:p w14:paraId="1B2C84B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vMerge w:val="continue"/>
            <w:shd w:val="clear" w:color="auto" w:fill="auto"/>
            <w:vAlign w:val="center"/>
          </w:tcPr>
          <w:p w14:paraId="0219939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both"/>
              <w:textAlignment w:val="baseline"/>
              <w:rPr>
                <w:rFonts w:hint="eastAsia" w:ascii="仿宋_GB2312" w:hAnsi="仿宋_GB2312" w:eastAsia="仿宋_GB2312" w:cs="仿宋_GB2312"/>
                <w:color w:val="auto"/>
                <w:spacing w:val="-11"/>
                <w:sz w:val="28"/>
                <w:szCs w:val="28"/>
              </w:rPr>
            </w:pPr>
          </w:p>
        </w:tc>
        <w:tc>
          <w:tcPr>
            <w:tcW w:w="5235" w:type="dxa"/>
            <w:shd w:val="clear" w:color="auto" w:fill="auto"/>
            <w:vAlign w:val="center"/>
          </w:tcPr>
          <w:p w14:paraId="63F886F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结合“才聚荆楚·春回校园”高校毕业生联合招聘活动，进校园宣传就业政策，开展就业指导等服务，鼓励引导高校毕业生在随就业</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7199C0B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3月</w:t>
            </w:r>
          </w:p>
        </w:tc>
        <w:tc>
          <w:tcPr>
            <w:tcW w:w="960" w:type="dxa"/>
            <w:shd w:val="clear" w:color="auto" w:fill="auto"/>
            <w:vAlign w:val="center"/>
          </w:tcPr>
          <w:p w14:paraId="6FE62D8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曾都区范围内</w:t>
            </w:r>
            <w:r>
              <w:rPr>
                <w:rFonts w:hint="eastAsia" w:ascii="仿宋_GB2312" w:hAnsi="仿宋_GB2312" w:eastAsia="仿宋_GB2312" w:cs="仿宋_GB2312"/>
                <w:color w:val="auto"/>
                <w:spacing w:val="-11"/>
                <w:sz w:val="28"/>
                <w:szCs w:val="28"/>
              </w:rPr>
              <w:t>高校</w:t>
            </w:r>
          </w:p>
        </w:tc>
        <w:tc>
          <w:tcPr>
            <w:tcW w:w="2115" w:type="dxa"/>
            <w:shd w:val="clear" w:color="auto" w:fill="auto"/>
            <w:vAlign w:val="center"/>
          </w:tcPr>
          <w:p w14:paraId="4BE9E6B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高校毕业生</w:t>
            </w:r>
          </w:p>
        </w:tc>
        <w:tc>
          <w:tcPr>
            <w:tcW w:w="1035" w:type="dxa"/>
            <w:shd w:val="clear" w:color="auto" w:fill="auto"/>
            <w:vAlign w:val="center"/>
          </w:tcPr>
          <w:p w14:paraId="4D3F842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1场</w:t>
            </w:r>
          </w:p>
        </w:tc>
        <w:tc>
          <w:tcPr>
            <w:tcW w:w="1575" w:type="dxa"/>
            <w:shd w:val="clear" w:color="auto" w:fill="auto"/>
            <w:vAlign w:val="center"/>
          </w:tcPr>
          <w:p w14:paraId="31B00D6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人才局</w:t>
            </w:r>
          </w:p>
        </w:tc>
      </w:tr>
      <w:tr w14:paraId="609C3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1305" w:type="dxa"/>
            <w:vMerge w:val="continue"/>
            <w:vAlign w:val="center"/>
          </w:tcPr>
          <w:p w14:paraId="7BA3F61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16" w:firstLineChars="200"/>
              <w:jc w:val="center"/>
              <w:textAlignment w:val="baseline"/>
              <w:rPr>
                <w:rFonts w:hint="eastAsia" w:ascii="仿宋_GB2312" w:hAnsi="仿宋_GB2312" w:eastAsia="仿宋_GB2312" w:cs="仿宋_GB2312"/>
                <w:color w:val="auto"/>
                <w:spacing w:val="-11"/>
                <w:sz w:val="28"/>
                <w:szCs w:val="28"/>
              </w:rPr>
            </w:pPr>
          </w:p>
        </w:tc>
        <w:tc>
          <w:tcPr>
            <w:tcW w:w="1995" w:type="dxa"/>
            <w:vMerge w:val="continue"/>
            <w:shd w:val="clear" w:color="auto" w:fill="auto"/>
            <w:vAlign w:val="center"/>
          </w:tcPr>
          <w:p w14:paraId="41C4DAD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both"/>
              <w:textAlignment w:val="baseline"/>
              <w:rPr>
                <w:rFonts w:hint="eastAsia" w:ascii="仿宋_GB2312" w:hAnsi="仿宋_GB2312" w:eastAsia="仿宋_GB2312" w:cs="仿宋_GB2312"/>
                <w:color w:val="auto"/>
                <w:spacing w:val="-11"/>
                <w:sz w:val="28"/>
                <w:szCs w:val="28"/>
              </w:rPr>
            </w:pPr>
          </w:p>
        </w:tc>
        <w:tc>
          <w:tcPr>
            <w:tcW w:w="5235" w:type="dxa"/>
            <w:shd w:val="clear" w:color="auto" w:fill="auto"/>
            <w:vAlign w:val="center"/>
          </w:tcPr>
          <w:p w14:paraId="1924AA6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left"/>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rPr>
              <w:t>结合</w:t>
            </w:r>
            <w:r>
              <w:rPr>
                <w:rFonts w:hint="eastAsia" w:ascii="仿宋_GB2312" w:hAnsi="仿宋_GB2312" w:eastAsia="仿宋_GB2312" w:cs="仿宋_GB2312"/>
                <w:color w:val="auto"/>
                <w:spacing w:val="-11"/>
                <w:sz w:val="28"/>
                <w:szCs w:val="28"/>
                <w:lang w:val="en-US" w:eastAsia="zh-CN"/>
              </w:rPr>
              <w:t>百县进百校校园招聘活动</w:t>
            </w:r>
            <w:r>
              <w:rPr>
                <w:rFonts w:hint="eastAsia" w:ascii="仿宋_GB2312" w:hAnsi="仿宋_GB2312" w:eastAsia="仿宋_GB2312" w:cs="仿宋_GB2312"/>
                <w:color w:val="auto"/>
                <w:spacing w:val="-11"/>
                <w:sz w:val="28"/>
                <w:szCs w:val="28"/>
              </w:rPr>
              <w:t>，进校园宣传就业政策，开展就业指导等服务，鼓励引导高校毕业生在随就业</w:t>
            </w:r>
            <w:r>
              <w:rPr>
                <w:rFonts w:hint="eastAsia" w:ascii="仿宋_GB2312" w:hAnsi="仿宋_GB2312" w:eastAsia="仿宋_GB2312" w:cs="仿宋_GB2312"/>
                <w:color w:val="auto"/>
                <w:spacing w:val="-11"/>
                <w:sz w:val="28"/>
                <w:szCs w:val="28"/>
                <w:lang w:eastAsia="zh-CN"/>
              </w:rPr>
              <w:t>。</w:t>
            </w:r>
          </w:p>
        </w:tc>
        <w:tc>
          <w:tcPr>
            <w:tcW w:w="825" w:type="dxa"/>
            <w:shd w:val="clear" w:color="auto" w:fill="auto"/>
            <w:vAlign w:val="center"/>
          </w:tcPr>
          <w:p w14:paraId="143AE92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5月</w:t>
            </w:r>
          </w:p>
        </w:tc>
        <w:tc>
          <w:tcPr>
            <w:tcW w:w="960" w:type="dxa"/>
            <w:shd w:val="clear" w:color="auto" w:fill="auto"/>
            <w:vAlign w:val="center"/>
          </w:tcPr>
          <w:p w14:paraId="1D2A9E3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曾都区范围内</w:t>
            </w:r>
            <w:r>
              <w:rPr>
                <w:rFonts w:hint="eastAsia" w:ascii="仿宋_GB2312" w:hAnsi="仿宋_GB2312" w:eastAsia="仿宋_GB2312" w:cs="仿宋_GB2312"/>
                <w:color w:val="auto"/>
                <w:spacing w:val="-11"/>
                <w:sz w:val="28"/>
                <w:szCs w:val="28"/>
              </w:rPr>
              <w:t>高校</w:t>
            </w:r>
          </w:p>
        </w:tc>
        <w:tc>
          <w:tcPr>
            <w:tcW w:w="2115" w:type="dxa"/>
            <w:shd w:val="clear" w:color="auto" w:fill="auto"/>
            <w:vAlign w:val="center"/>
          </w:tcPr>
          <w:p w14:paraId="0AE04B7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高校毕业生</w:t>
            </w:r>
          </w:p>
        </w:tc>
        <w:tc>
          <w:tcPr>
            <w:tcW w:w="1035" w:type="dxa"/>
            <w:shd w:val="clear" w:color="auto" w:fill="auto"/>
            <w:vAlign w:val="center"/>
          </w:tcPr>
          <w:p w14:paraId="0EBF33C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en-US" w:bidi="ar-SA"/>
              </w:rPr>
            </w:pPr>
            <w:r>
              <w:rPr>
                <w:rFonts w:hint="eastAsia" w:ascii="仿宋_GB2312" w:hAnsi="仿宋_GB2312" w:eastAsia="仿宋_GB2312" w:cs="仿宋_GB2312"/>
                <w:color w:val="auto"/>
                <w:spacing w:val="-11"/>
                <w:sz w:val="28"/>
                <w:szCs w:val="28"/>
              </w:rPr>
              <w:t>1场</w:t>
            </w:r>
          </w:p>
        </w:tc>
        <w:tc>
          <w:tcPr>
            <w:tcW w:w="1575" w:type="dxa"/>
            <w:shd w:val="clear" w:color="auto" w:fill="auto"/>
            <w:vAlign w:val="center"/>
          </w:tcPr>
          <w:p w14:paraId="4809A4A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rightChars="0"/>
              <w:jc w:val="center"/>
              <w:textAlignment w:val="baseline"/>
              <w:rPr>
                <w:rFonts w:hint="eastAsia" w:ascii="仿宋_GB2312" w:hAnsi="仿宋_GB2312" w:eastAsia="仿宋_GB2312" w:cs="仿宋_GB2312"/>
                <w:color w:val="auto"/>
                <w:spacing w:val="-11"/>
                <w:kern w:val="2"/>
                <w:sz w:val="28"/>
                <w:szCs w:val="28"/>
                <w:lang w:val="en-US" w:eastAsia="zh-CN" w:bidi="ar-SA"/>
              </w:rPr>
            </w:pPr>
            <w:r>
              <w:rPr>
                <w:rFonts w:hint="eastAsia" w:ascii="仿宋_GB2312" w:hAnsi="仿宋_GB2312" w:eastAsia="仿宋_GB2312" w:cs="仿宋_GB2312"/>
                <w:color w:val="auto"/>
                <w:spacing w:val="-11"/>
                <w:sz w:val="28"/>
                <w:szCs w:val="28"/>
                <w:lang w:val="en-US" w:eastAsia="zh-CN"/>
              </w:rPr>
              <w:t>人才局、就业局</w:t>
            </w:r>
          </w:p>
        </w:tc>
      </w:tr>
    </w:tbl>
    <w:p w14:paraId="64358727">
      <w:pPr>
        <w:keepNext w:val="0"/>
        <w:keepLines w:val="0"/>
        <w:pageBreakBefore w:val="0"/>
        <w:wordWrap/>
        <w:overflowPunct/>
        <w:topLinePunct w:val="0"/>
        <w:bidi w:val="0"/>
        <w:spacing w:line="400" w:lineRule="exact"/>
        <w:ind w:left="0" w:right="0" w:firstLine="516" w:firstLineChars="200"/>
        <w:rPr>
          <w:rFonts w:hint="eastAsia" w:ascii="仿宋_GB2312" w:hAnsi="仿宋_GB2312" w:eastAsia="仿宋_GB2312" w:cs="仿宋_GB2312"/>
          <w:color w:val="auto"/>
          <w:spacing w:val="-11"/>
          <w:sz w:val="28"/>
          <w:szCs w:val="28"/>
        </w:rPr>
      </w:pPr>
    </w:p>
    <w:p w14:paraId="2530E40C">
      <w:pPr>
        <w:keepNext w:val="0"/>
        <w:keepLines w:val="0"/>
        <w:pageBreakBefore w:val="0"/>
        <w:wordWrap/>
        <w:overflowPunct/>
        <w:topLinePunct w:val="0"/>
        <w:bidi w:val="0"/>
        <w:spacing w:line="400" w:lineRule="exact"/>
        <w:ind w:left="0" w:right="0" w:firstLine="516" w:firstLineChars="200"/>
        <w:rPr>
          <w:rFonts w:hint="eastAsia" w:ascii="仿宋_GB2312" w:hAnsi="仿宋_GB2312" w:eastAsia="仿宋_GB2312" w:cs="仿宋_GB2312"/>
          <w:color w:val="auto"/>
          <w:spacing w:val="-11"/>
          <w:sz w:val="28"/>
          <w:szCs w:val="28"/>
        </w:rPr>
        <w:sectPr>
          <w:footerReference r:id="rId5" w:type="default"/>
          <w:pgSz w:w="16839" w:h="11906"/>
          <w:pgMar w:top="1012" w:right="1441" w:bottom="1359" w:left="1586" w:header="0" w:footer="1146" w:gutter="0"/>
          <w:pgNumType w:fmt="decimal"/>
          <w:cols w:space="720" w:num="1"/>
        </w:sectPr>
      </w:pPr>
    </w:p>
    <w:tbl>
      <w:tblPr>
        <w:tblStyle w:val="8"/>
        <w:tblW w:w="14880" w:type="dxa"/>
        <w:tblInd w:w="-5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5"/>
        <w:gridCol w:w="1860"/>
        <w:gridCol w:w="5173"/>
        <w:gridCol w:w="580"/>
        <w:gridCol w:w="1092"/>
        <w:gridCol w:w="1990"/>
        <w:gridCol w:w="1110"/>
        <w:gridCol w:w="1650"/>
      </w:tblGrid>
      <w:tr w14:paraId="42ADD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vMerge w:val="restart"/>
            <w:shd w:val="clear" w:color="auto" w:fill="auto"/>
            <w:vAlign w:val="center"/>
          </w:tcPr>
          <w:p w14:paraId="5107284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“人社便</w:t>
            </w:r>
          </w:p>
          <w:p w14:paraId="287F756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民利民政</w:t>
            </w:r>
          </w:p>
          <w:p w14:paraId="10BED02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策宣讲”</w:t>
            </w:r>
          </w:p>
          <w:p w14:paraId="2D9E4B7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进村居</w:t>
            </w:r>
          </w:p>
        </w:tc>
        <w:tc>
          <w:tcPr>
            <w:tcW w:w="1860" w:type="dxa"/>
            <w:shd w:val="clear" w:color="auto" w:fill="auto"/>
            <w:vAlign w:val="center"/>
          </w:tcPr>
          <w:p w14:paraId="5139423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城乡居民养老保险缴费政策</w:t>
            </w:r>
          </w:p>
        </w:tc>
        <w:tc>
          <w:tcPr>
            <w:tcW w:w="5173" w:type="dxa"/>
            <w:shd w:val="clear" w:color="auto" w:fill="auto"/>
            <w:vAlign w:val="center"/>
          </w:tcPr>
          <w:p w14:paraId="0F080BD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全面准确宣传居民基本养老保险缴费有关政策，引导城乡居民踊跃参保、持续缴费，鼓励组织和个人为参保人缴费提供资助，增加个人账户积累，逐步提高待遇水平</w:t>
            </w:r>
            <w:r>
              <w:rPr>
                <w:rFonts w:hint="eastAsia" w:ascii="仿宋_GB2312" w:hAnsi="仿宋_GB2312" w:eastAsia="仿宋_GB2312" w:cs="仿宋_GB2312"/>
                <w:color w:val="auto"/>
                <w:spacing w:val="-11"/>
                <w:sz w:val="28"/>
                <w:szCs w:val="28"/>
                <w:lang w:eastAsia="zh-CN"/>
              </w:rPr>
              <w:t>。</w:t>
            </w:r>
          </w:p>
        </w:tc>
        <w:tc>
          <w:tcPr>
            <w:tcW w:w="580" w:type="dxa"/>
            <w:shd w:val="clear" w:color="auto" w:fill="auto"/>
            <w:vAlign w:val="center"/>
          </w:tcPr>
          <w:p w14:paraId="2E622B2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全年</w:t>
            </w:r>
          </w:p>
        </w:tc>
        <w:tc>
          <w:tcPr>
            <w:tcW w:w="1092" w:type="dxa"/>
            <w:shd w:val="clear" w:color="auto" w:fill="auto"/>
            <w:vAlign w:val="center"/>
          </w:tcPr>
          <w:p w14:paraId="5AD9770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全区</w:t>
            </w:r>
          </w:p>
        </w:tc>
        <w:tc>
          <w:tcPr>
            <w:tcW w:w="1990" w:type="dxa"/>
            <w:shd w:val="clear" w:color="auto" w:fill="auto"/>
            <w:vAlign w:val="center"/>
          </w:tcPr>
          <w:p w14:paraId="44646C7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388CB88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广大城乡居民</w:t>
            </w:r>
          </w:p>
        </w:tc>
        <w:tc>
          <w:tcPr>
            <w:tcW w:w="1110" w:type="dxa"/>
            <w:shd w:val="clear" w:color="auto" w:fill="auto"/>
            <w:vAlign w:val="center"/>
          </w:tcPr>
          <w:p w14:paraId="37D2EBB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7286177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多场次</w:t>
            </w:r>
          </w:p>
        </w:tc>
        <w:tc>
          <w:tcPr>
            <w:tcW w:w="1650" w:type="dxa"/>
            <w:shd w:val="clear" w:color="auto" w:fill="auto"/>
            <w:vAlign w:val="center"/>
          </w:tcPr>
          <w:p w14:paraId="680CC31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居保</w:t>
            </w:r>
            <w:r>
              <w:rPr>
                <w:rFonts w:hint="eastAsia" w:ascii="仿宋_GB2312" w:hAnsi="仿宋_GB2312" w:eastAsia="仿宋_GB2312" w:cs="仿宋_GB2312"/>
                <w:color w:val="auto"/>
                <w:spacing w:val="-11"/>
                <w:sz w:val="28"/>
                <w:szCs w:val="28"/>
                <w:lang w:eastAsia="zh-CN"/>
              </w:rPr>
              <w:t>局</w:t>
            </w:r>
          </w:p>
        </w:tc>
      </w:tr>
      <w:tr w14:paraId="3C03F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vMerge w:val="continue"/>
            <w:vAlign w:val="center"/>
          </w:tcPr>
          <w:p w14:paraId="117D45E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tc>
        <w:tc>
          <w:tcPr>
            <w:tcW w:w="1860" w:type="dxa"/>
            <w:shd w:val="clear" w:color="auto" w:fill="auto"/>
            <w:vAlign w:val="center"/>
          </w:tcPr>
          <w:p w14:paraId="539EFAA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
                <w:woUserID w:val="8"/>
              </w:rPr>
            </w:pPr>
            <w:r>
              <w:rPr>
                <w:rFonts w:hint="eastAsia" w:ascii="仿宋_GB2312" w:hAnsi="仿宋_GB2312" w:eastAsia="仿宋_GB2312" w:cs="仿宋_GB2312"/>
                <w:color w:val="auto"/>
                <w:spacing w:val="-11"/>
                <w:sz w:val="28"/>
                <w:szCs w:val="28"/>
              </w:rPr>
              <w:t>严厉打击</w:t>
            </w:r>
            <w:r>
              <w:rPr>
                <w:rFonts w:hint="eastAsia" w:ascii="仿宋_GB2312" w:hAnsi="仿宋_GB2312" w:eastAsia="仿宋_GB2312" w:cs="仿宋_GB2312"/>
                <w:color w:val="auto"/>
                <w:spacing w:val="-11"/>
                <w:sz w:val="28"/>
                <w:szCs w:val="28"/>
                <w:lang w:eastAsia="zh"/>
                <w:woUserID w:val="8"/>
              </w:rPr>
              <w:t>欺诈骗保政策宣传</w:t>
            </w:r>
          </w:p>
        </w:tc>
        <w:tc>
          <w:tcPr>
            <w:tcW w:w="5173" w:type="dxa"/>
            <w:shd w:val="clear" w:color="auto" w:fill="auto"/>
            <w:vAlign w:val="center"/>
          </w:tcPr>
          <w:p w14:paraId="23ACFD1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制作</w:t>
            </w:r>
            <w:r>
              <w:rPr>
                <w:rFonts w:hint="eastAsia" w:ascii="仿宋_GB2312" w:hAnsi="仿宋_GB2312" w:eastAsia="仿宋_GB2312" w:cs="仿宋_GB2312"/>
                <w:color w:val="auto"/>
                <w:spacing w:val="-11"/>
                <w:sz w:val="28"/>
                <w:szCs w:val="28"/>
                <w:lang w:eastAsia="zh"/>
                <w:woUserID w:val="8"/>
              </w:rPr>
              <w:t>印发社保基金监督举报</w:t>
            </w:r>
            <w:r>
              <w:rPr>
                <w:rFonts w:hint="eastAsia" w:ascii="仿宋_GB2312" w:hAnsi="仿宋_GB2312" w:eastAsia="仿宋_GB2312" w:cs="仿宋_GB2312"/>
                <w:color w:val="auto"/>
                <w:spacing w:val="-11"/>
                <w:sz w:val="28"/>
                <w:szCs w:val="28"/>
              </w:rPr>
              <w:t>宣传</w:t>
            </w:r>
            <w:r>
              <w:rPr>
                <w:rFonts w:hint="eastAsia" w:ascii="仿宋_GB2312" w:hAnsi="仿宋_GB2312" w:eastAsia="仿宋_GB2312" w:cs="仿宋_GB2312"/>
                <w:color w:val="auto"/>
                <w:spacing w:val="-11"/>
                <w:sz w:val="28"/>
                <w:szCs w:val="28"/>
                <w:lang w:eastAsia="zh"/>
                <w:woUserID w:val="8"/>
              </w:rPr>
              <w:t>册</w:t>
            </w:r>
            <w:r>
              <w:rPr>
                <w:rFonts w:hint="eastAsia" w:ascii="仿宋_GB2312" w:hAnsi="仿宋_GB2312" w:eastAsia="仿宋_GB2312" w:cs="仿宋_GB2312"/>
                <w:color w:val="auto"/>
                <w:spacing w:val="-11"/>
                <w:sz w:val="28"/>
                <w:szCs w:val="28"/>
              </w:rPr>
              <w:t>，</w:t>
            </w:r>
            <w:r>
              <w:rPr>
                <w:rFonts w:hint="eastAsia" w:ascii="仿宋_GB2312" w:hAnsi="仿宋_GB2312" w:eastAsia="仿宋_GB2312" w:cs="仿宋_GB2312"/>
                <w:color w:val="auto"/>
                <w:spacing w:val="-11"/>
                <w:sz w:val="28"/>
                <w:szCs w:val="28"/>
                <w:woUserID w:val="8"/>
              </w:rPr>
              <w:t>开展社保基金监督法律法规宣传</w:t>
            </w:r>
            <w:r>
              <w:rPr>
                <w:rFonts w:hint="eastAsia" w:ascii="仿宋_GB2312" w:hAnsi="仿宋_GB2312" w:eastAsia="仿宋_GB2312" w:cs="仿宋_GB2312"/>
                <w:color w:val="auto"/>
                <w:spacing w:val="-11"/>
                <w:sz w:val="28"/>
                <w:szCs w:val="28"/>
                <w:lang w:eastAsia="zh-CN"/>
                <w:woUserID w:val="8"/>
              </w:rPr>
              <w:t>。</w:t>
            </w:r>
          </w:p>
        </w:tc>
        <w:tc>
          <w:tcPr>
            <w:tcW w:w="580" w:type="dxa"/>
            <w:shd w:val="clear" w:color="auto" w:fill="auto"/>
            <w:vAlign w:val="center"/>
          </w:tcPr>
          <w:p w14:paraId="49A61B5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10月</w:t>
            </w:r>
          </w:p>
        </w:tc>
        <w:tc>
          <w:tcPr>
            <w:tcW w:w="1092" w:type="dxa"/>
            <w:shd w:val="clear" w:color="auto" w:fill="auto"/>
            <w:vAlign w:val="center"/>
          </w:tcPr>
          <w:p w14:paraId="2DFE877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全区</w:t>
            </w:r>
          </w:p>
        </w:tc>
        <w:tc>
          <w:tcPr>
            <w:tcW w:w="1990" w:type="dxa"/>
            <w:shd w:val="clear" w:color="auto" w:fill="auto"/>
            <w:vAlign w:val="center"/>
          </w:tcPr>
          <w:p w14:paraId="1477100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基层社保工作人员和村居群众等</w:t>
            </w:r>
          </w:p>
        </w:tc>
        <w:tc>
          <w:tcPr>
            <w:tcW w:w="1110" w:type="dxa"/>
            <w:shd w:val="clear" w:color="auto" w:fill="auto"/>
            <w:vAlign w:val="center"/>
          </w:tcPr>
          <w:p w14:paraId="60B766D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p w14:paraId="66C3F53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全年</w:t>
            </w:r>
          </w:p>
        </w:tc>
        <w:tc>
          <w:tcPr>
            <w:tcW w:w="1650" w:type="dxa"/>
            <w:shd w:val="clear" w:color="auto" w:fill="auto"/>
            <w:vAlign w:val="center"/>
          </w:tcPr>
          <w:p w14:paraId="3FE8F88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
                <w:woUserID w:val="8"/>
              </w:rPr>
              <w:t>基金监管中心</w:t>
            </w:r>
            <w:r>
              <w:rPr>
                <w:rFonts w:hint="eastAsia" w:ascii="仿宋_GB2312" w:hAnsi="仿宋_GB2312" w:eastAsia="仿宋_GB2312" w:cs="仿宋_GB2312"/>
                <w:color w:val="auto"/>
                <w:spacing w:val="-11"/>
                <w:sz w:val="28"/>
                <w:szCs w:val="28"/>
                <w:lang w:val="en-US" w:eastAsia="zh-CN"/>
              </w:rPr>
              <w:t>、社保局</w:t>
            </w:r>
          </w:p>
        </w:tc>
      </w:tr>
      <w:tr w14:paraId="4E9A3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vMerge w:val="continue"/>
            <w:vAlign w:val="center"/>
          </w:tcPr>
          <w:p w14:paraId="4868E36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tc>
        <w:tc>
          <w:tcPr>
            <w:tcW w:w="1860" w:type="dxa"/>
            <w:shd w:val="clear" w:color="auto" w:fill="auto"/>
            <w:vAlign w:val="center"/>
          </w:tcPr>
          <w:p w14:paraId="1B637B3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返乡创业行动</w:t>
            </w:r>
          </w:p>
        </w:tc>
        <w:tc>
          <w:tcPr>
            <w:tcW w:w="5173" w:type="dxa"/>
            <w:shd w:val="clear" w:color="auto" w:fill="auto"/>
            <w:vAlign w:val="center"/>
          </w:tcPr>
          <w:p w14:paraId="6501AAC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开展“春风行动”等公共就业服务活动，广泛进乡镇、村居宣传返乡创业扶持政策，通过播放返乡创业</w:t>
            </w:r>
            <w:r>
              <w:rPr>
                <w:rFonts w:hint="eastAsia" w:ascii="仿宋_GB2312" w:hAnsi="仿宋_GB2312" w:eastAsia="仿宋_GB2312" w:cs="仿宋_GB2312"/>
                <w:color w:val="auto"/>
                <w:spacing w:val="-11"/>
                <w:sz w:val="28"/>
                <w:szCs w:val="28"/>
                <w:lang w:val="en-US" w:eastAsia="zh-CN"/>
              </w:rPr>
              <w:t>视频</w:t>
            </w:r>
            <w:r>
              <w:rPr>
                <w:rFonts w:hint="eastAsia" w:ascii="仿宋_GB2312" w:hAnsi="仿宋_GB2312" w:eastAsia="仿宋_GB2312" w:cs="仿宋_GB2312"/>
                <w:color w:val="auto"/>
                <w:spacing w:val="-11"/>
                <w:sz w:val="28"/>
                <w:szCs w:val="28"/>
              </w:rPr>
              <w:t>、发放宣传册等多形式强化宣传效果</w:t>
            </w:r>
            <w:r>
              <w:rPr>
                <w:rFonts w:hint="eastAsia" w:ascii="仿宋_GB2312" w:hAnsi="仿宋_GB2312" w:eastAsia="仿宋_GB2312" w:cs="仿宋_GB2312"/>
                <w:color w:val="auto"/>
                <w:spacing w:val="-11"/>
                <w:sz w:val="28"/>
                <w:szCs w:val="28"/>
                <w:lang w:eastAsia="zh-CN"/>
              </w:rPr>
              <w:t>。</w:t>
            </w:r>
            <w:r>
              <w:rPr>
                <w:rFonts w:hint="eastAsia" w:ascii="仿宋_GB2312" w:hAnsi="仿宋_GB2312" w:eastAsia="仿宋_GB2312" w:cs="仿宋_GB2312"/>
                <w:color w:val="auto"/>
                <w:spacing w:val="-11"/>
                <w:sz w:val="28"/>
                <w:szCs w:val="28"/>
              </w:rPr>
              <w:t>同时，结合返乡创业推介活动，引导在外人员返乡创业</w:t>
            </w:r>
            <w:r>
              <w:rPr>
                <w:rFonts w:hint="eastAsia" w:ascii="仿宋_GB2312" w:hAnsi="仿宋_GB2312" w:eastAsia="仿宋_GB2312" w:cs="仿宋_GB2312"/>
                <w:color w:val="auto"/>
                <w:spacing w:val="-11"/>
                <w:sz w:val="28"/>
                <w:szCs w:val="28"/>
                <w:lang w:eastAsia="zh-CN"/>
              </w:rPr>
              <w:t>。</w:t>
            </w:r>
          </w:p>
        </w:tc>
        <w:tc>
          <w:tcPr>
            <w:tcW w:w="580" w:type="dxa"/>
            <w:shd w:val="clear" w:color="auto" w:fill="auto"/>
            <w:vAlign w:val="center"/>
          </w:tcPr>
          <w:p w14:paraId="0F80B8B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全年</w:t>
            </w:r>
          </w:p>
        </w:tc>
        <w:tc>
          <w:tcPr>
            <w:tcW w:w="1092" w:type="dxa"/>
            <w:shd w:val="clear" w:color="auto" w:fill="auto"/>
            <w:vAlign w:val="center"/>
          </w:tcPr>
          <w:p w14:paraId="45261EA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全区</w:t>
            </w:r>
          </w:p>
        </w:tc>
        <w:tc>
          <w:tcPr>
            <w:tcW w:w="1990" w:type="dxa"/>
            <w:shd w:val="clear" w:color="auto" w:fill="auto"/>
            <w:vAlign w:val="center"/>
          </w:tcPr>
          <w:p w14:paraId="1346180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156C766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返乡创业人员</w:t>
            </w:r>
          </w:p>
        </w:tc>
        <w:tc>
          <w:tcPr>
            <w:tcW w:w="1110" w:type="dxa"/>
            <w:shd w:val="clear" w:color="auto" w:fill="auto"/>
            <w:vAlign w:val="center"/>
          </w:tcPr>
          <w:p w14:paraId="0C41A62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5D716EA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多场次</w:t>
            </w:r>
          </w:p>
        </w:tc>
        <w:tc>
          <w:tcPr>
            <w:tcW w:w="1650" w:type="dxa"/>
            <w:shd w:val="clear" w:color="auto" w:fill="auto"/>
            <w:vAlign w:val="center"/>
          </w:tcPr>
          <w:p w14:paraId="045FFD0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就业股、就业局</w:t>
            </w:r>
          </w:p>
        </w:tc>
      </w:tr>
      <w:tr w14:paraId="14EA0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vMerge w:val="continue"/>
            <w:vAlign w:val="center"/>
          </w:tcPr>
          <w:p w14:paraId="5D11228A">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p>
        </w:tc>
        <w:tc>
          <w:tcPr>
            <w:tcW w:w="1860" w:type="dxa"/>
            <w:shd w:val="clear" w:color="auto" w:fill="auto"/>
            <w:vAlign w:val="center"/>
          </w:tcPr>
          <w:p w14:paraId="70066A8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社保卡居民服务“一卡通”宣传推广</w:t>
            </w:r>
          </w:p>
        </w:tc>
        <w:tc>
          <w:tcPr>
            <w:tcW w:w="5173" w:type="dxa"/>
            <w:shd w:val="clear" w:color="auto" w:fill="auto"/>
            <w:vAlign w:val="center"/>
          </w:tcPr>
          <w:p w14:paraId="5DDFEAD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1.开展社保卡居民服务“一卡通”宣传推广，全面宣传社保卡服务品牌、服务事项、服务方式，通过投放宣传视频、印刷功能海报、发放宣传折页等方式，让群众知卡、懂卡、用卡，提高群众知晓度。</w:t>
            </w:r>
          </w:p>
          <w:p w14:paraId="006933E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2.联合即制社保卡合作银行提供现场换发社保卡服务，让群众体验社保卡“免跑腿”“上门办”“一站式办理”服务，增强社保卡服务的公众认知度，提升群众满意度。</w:t>
            </w:r>
          </w:p>
        </w:tc>
        <w:tc>
          <w:tcPr>
            <w:tcW w:w="580" w:type="dxa"/>
            <w:shd w:val="clear" w:color="auto" w:fill="auto"/>
            <w:vAlign w:val="center"/>
          </w:tcPr>
          <w:p w14:paraId="4BA43BD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67F25D2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全年</w:t>
            </w:r>
          </w:p>
        </w:tc>
        <w:tc>
          <w:tcPr>
            <w:tcW w:w="1092" w:type="dxa"/>
            <w:shd w:val="clear" w:color="auto" w:fill="auto"/>
            <w:vAlign w:val="center"/>
          </w:tcPr>
          <w:p w14:paraId="5300804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p>
          <w:p w14:paraId="717747C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全区</w:t>
            </w:r>
          </w:p>
        </w:tc>
        <w:tc>
          <w:tcPr>
            <w:tcW w:w="1990" w:type="dxa"/>
            <w:shd w:val="clear" w:color="auto" w:fill="auto"/>
            <w:vAlign w:val="center"/>
          </w:tcPr>
          <w:p w14:paraId="045D24D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08834D6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bookmarkStart w:id="0" w:name="_GoBack"/>
            <w:bookmarkEnd w:id="0"/>
            <w:r>
              <w:rPr>
                <w:rFonts w:hint="eastAsia" w:ascii="仿宋_GB2312" w:hAnsi="仿宋_GB2312" w:eastAsia="仿宋_GB2312" w:cs="仿宋_GB2312"/>
                <w:color w:val="auto"/>
                <w:spacing w:val="-11"/>
                <w:sz w:val="28"/>
                <w:szCs w:val="28"/>
              </w:rPr>
              <w:t>群众</w:t>
            </w:r>
          </w:p>
        </w:tc>
        <w:tc>
          <w:tcPr>
            <w:tcW w:w="1110" w:type="dxa"/>
            <w:shd w:val="clear" w:color="auto" w:fill="auto"/>
            <w:vAlign w:val="center"/>
          </w:tcPr>
          <w:p w14:paraId="41678747">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12A66FE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多场次</w:t>
            </w:r>
          </w:p>
        </w:tc>
        <w:tc>
          <w:tcPr>
            <w:tcW w:w="1650" w:type="dxa"/>
            <w:shd w:val="clear" w:color="auto" w:fill="auto"/>
            <w:vAlign w:val="center"/>
          </w:tcPr>
          <w:p w14:paraId="6357D293">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eastAsia="zh-CN"/>
              </w:rPr>
            </w:pPr>
          </w:p>
          <w:p w14:paraId="1497CA7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highlight w:val="none"/>
              </w:rPr>
              <w:t>信息中心</w:t>
            </w:r>
            <w:r>
              <w:rPr>
                <w:rFonts w:hint="eastAsia" w:ascii="仿宋_GB2312" w:hAnsi="仿宋_GB2312" w:eastAsia="仿宋_GB2312" w:cs="仿宋_GB2312"/>
                <w:color w:val="auto"/>
                <w:spacing w:val="-11"/>
                <w:sz w:val="28"/>
                <w:szCs w:val="28"/>
                <w:highlight w:val="none"/>
                <w:lang w:eastAsia="zh-CN"/>
              </w:rPr>
              <w:t>、</w:t>
            </w:r>
            <w:r>
              <w:rPr>
                <w:rFonts w:hint="eastAsia" w:ascii="仿宋_GB2312" w:hAnsi="仿宋_GB2312" w:eastAsia="仿宋_GB2312" w:cs="仿宋_GB2312"/>
                <w:color w:val="auto"/>
                <w:spacing w:val="-11"/>
                <w:sz w:val="28"/>
                <w:szCs w:val="28"/>
                <w:highlight w:val="none"/>
                <w:lang w:val="en-US" w:eastAsia="zh-CN"/>
              </w:rPr>
              <w:t>社保局</w:t>
            </w:r>
          </w:p>
        </w:tc>
      </w:tr>
      <w:tr w14:paraId="092BA5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shd w:val="clear" w:color="auto" w:fill="auto"/>
            <w:vAlign w:val="center"/>
          </w:tcPr>
          <w:p w14:paraId="17CDEA5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“根治欠</w:t>
            </w:r>
          </w:p>
          <w:p w14:paraId="0057B21D">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薪政策宣</w:t>
            </w:r>
          </w:p>
          <w:p w14:paraId="25FB047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讲”进工地</w:t>
            </w:r>
          </w:p>
        </w:tc>
        <w:tc>
          <w:tcPr>
            <w:tcW w:w="1860" w:type="dxa"/>
            <w:shd w:val="clear" w:color="auto" w:fill="auto"/>
            <w:vAlign w:val="center"/>
          </w:tcPr>
          <w:p w14:paraId="5F71258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“阅读进工地、人社政策进工地”</w:t>
            </w:r>
          </w:p>
        </w:tc>
        <w:tc>
          <w:tcPr>
            <w:tcW w:w="5173" w:type="dxa"/>
            <w:shd w:val="clear" w:color="auto" w:fill="auto"/>
            <w:vAlign w:val="center"/>
          </w:tcPr>
          <w:p w14:paraId="34C8D35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eastAsia="zh-CN"/>
              </w:rPr>
            </w:pPr>
            <w:r>
              <w:rPr>
                <w:rFonts w:hint="eastAsia" w:ascii="仿宋_GB2312" w:hAnsi="仿宋_GB2312" w:eastAsia="仿宋_GB2312" w:cs="仿宋_GB2312"/>
                <w:color w:val="auto"/>
                <w:spacing w:val="-11"/>
                <w:sz w:val="28"/>
                <w:szCs w:val="28"/>
              </w:rPr>
              <w:t>1.结合“为农民工办实事”，共建“农民工书屋”，筹集捐赠书籍和人社政策宣传手册，丰富农民工精神文化生活</w:t>
            </w:r>
            <w:r>
              <w:rPr>
                <w:rFonts w:hint="eastAsia" w:ascii="仿宋_GB2312" w:hAnsi="仿宋_GB2312" w:eastAsia="仿宋_GB2312" w:cs="仿宋_GB2312"/>
                <w:color w:val="auto"/>
                <w:spacing w:val="-11"/>
                <w:sz w:val="28"/>
                <w:szCs w:val="28"/>
                <w:lang w:eastAsia="zh-CN"/>
              </w:rPr>
              <w:t>。</w:t>
            </w:r>
          </w:p>
          <w:p w14:paraId="7D5240D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2.以贯彻落实《保障农民工工资支付条例》《湖北省保障农民工工资支付办法》、农民工服务保障、工伤认定的受理条件、申请材料和办事流程等政策为重点，深入建筑工地开展政策宣讲</w:t>
            </w:r>
            <w:r>
              <w:rPr>
                <w:rFonts w:hint="eastAsia" w:ascii="仿宋_GB2312" w:hAnsi="仿宋_GB2312" w:eastAsia="仿宋_GB2312" w:cs="仿宋_GB2312"/>
                <w:color w:val="auto"/>
                <w:spacing w:val="-11"/>
                <w:sz w:val="28"/>
                <w:szCs w:val="28"/>
                <w:lang w:eastAsia="zh-CN"/>
              </w:rPr>
              <w:t>。</w:t>
            </w:r>
          </w:p>
        </w:tc>
        <w:tc>
          <w:tcPr>
            <w:tcW w:w="580" w:type="dxa"/>
            <w:shd w:val="clear" w:color="auto" w:fill="auto"/>
            <w:vAlign w:val="center"/>
          </w:tcPr>
          <w:p w14:paraId="141E4F0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5-10月</w:t>
            </w:r>
          </w:p>
        </w:tc>
        <w:tc>
          <w:tcPr>
            <w:tcW w:w="1092" w:type="dxa"/>
            <w:shd w:val="clear" w:color="auto" w:fill="auto"/>
            <w:vAlign w:val="center"/>
          </w:tcPr>
          <w:p w14:paraId="27991AB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曾都区范围内</w:t>
            </w:r>
          </w:p>
        </w:tc>
        <w:tc>
          <w:tcPr>
            <w:tcW w:w="1990" w:type="dxa"/>
            <w:shd w:val="clear" w:color="auto" w:fill="auto"/>
            <w:vAlign w:val="center"/>
          </w:tcPr>
          <w:p w14:paraId="4D17421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建筑工地农民工代表</w:t>
            </w:r>
          </w:p>
        </w:tc>
        <w:tc>
          <w:tcPr>
            <w:tcW w:w="1110" w:type="dxa"/>
            <w:shd w:val="clear" w:color="auto" w:fill="auto"/>
            <w:vAlign w:val="center"/>
          </w:tcPr>
          <w:p w14:paraId="3A4DD97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多场次</w:t>
            </w:r>
          </w:p>
        </w:tc>
        <w:tc>
          <w:tcPr>
            <w:tcW w:w="1650" w:type="dxa"/>
            <w:shd w:val="clear" w:color="auto" w:fill="auto"/>
            <w:vAlign w:val="center"/>
          </w:tcPr>
          <w:p w14:paraId="688BF98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监察股、工伤股、维权中心、社保局</w:t>
            </w:r>
          </w:p>
        </w:tc>
      </w:tr>
      <w:tr w14:paraId="1C028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vMerge w:val="restart"/>
            <w:shd w:val="clear" w:color="auto" w:fill="auto"/>
            <w:vAlign w:val="center"/>
          </w:tcPr>
          <w:p w14:paraId="3512459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“人社政</w:t>
            </w:r>
          </w:p>
          <w:p w14:paraId="520863B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策业务学</w:t>
            </w:r>
          </w:p>
          <w:p w14:paraId="68315C5C">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rPr>
              <w:t>习”进系统</w:t>
            </w:r>
          </w:p>
          <w:p w14:paraId="57D4ED0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p>
        </w:tc>
        <w:tc>
          <w:tcPr>
            <w:tcW w:w="1860" w:type="dxa"/>
            <w:shd w:val="clear" w:color="auto" w:fill="auto"/>
            <w:vAlign w:val="center"/>
          </w:tcPr>
          <w:p w14:paraId="59852CC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组织系统干部职工人社政策法规学习和窗口单位工作人员常态化练兵</w:t>
            </w:r>
          </w:p>
        </w:tc>
        <w:tc>
          <w:tcPr>
            <w:tcW w:w="5173" w:type="dxa"/>
            <w:shd w:val="clear" w:color="auto" w:fill="auto"/>
            <w:vAlign w:val="center"/>
          </w:tcPr>
          <w:p w14:paraId="3ADF7B2E">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组织人社政策法规日常学习教育活动，加强系统窗口单位工作人员常态化练兵，培养更多系统“政策知识通”“业务一口清”等优秀普法工作人才，推动干部职工不断提高为民服务能力和水平</w:t>
            </w:r>
            <w:r>
              <w:rPr>
                <w:rFonts w:hint="eastAsia" w:ascii="仿宋_GB2312" w:hAnsi="仿宋_GB2312" w:eastAsia="仿宋_GB2312" w:cs="仿宋_GB2312"/>
                <w:color w:val="auto"/>
                <w:spacing w:val="-11"/>
                <w:sz w:val="28"/>
                <w:szCs w:val="28"/>
                <w:lang w:eastAsia="zh-CN"/>
              </w:rPr>
              <w:t>。</w:t>
            </w:r>
          </w:p>
        </w:tc>
        <w:tc>
          <w:tcPr>
            <w:tcW w:w="580" w:type="dxa"/>
            <w:shd w:val="clear" w:color="auto" w:fill="auto"/>
            <w:vAlign w:val="center"/>
          </w:tcPr>
          <w:p w14:paraId="11F5FF5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全年</w:t>
            </w:r>
          </w:p>
        </w:tc>
        <w:tc>
          <w:tcPr>
            <w:tcW w:w="1092" w:type="dxa"/>
            <w:shd w:val="clear" w:color="auto" w:fill="auto"/>
            <w:vAlign w:val="center"/>
          </w:tcPr>
          <w:p w14:paraId="0FBC214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全区</w:t>
            </w:r>
          </w:p>
        </w:tc>
        <w:tc>
          <w:tcPr>
            <w:tcW w:w="1990" w:type="dxa"/>
            <w:shd w:val="clear" w:color="auto" w:fill="auto"/>
            <w:vAlign w:val="center"/>
          </w:tcPr>
          <w:p w14:paraId="24B4813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系统干部职工</w:t>
            </w:r>
          </w:p>
        </w:tc>
        <w:tc>
          <w:tcPr>
            <w:tcW w:w="1110" w:type="dxa"/>
            <w:shd w:val="clear" w:color="auto" w:fill="auto"/>
            <w:vAlign w:val="center"/>
          </w:tcPr>
          <w:p w14:paraId="61DD9D7B">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多场次</w:t>
            </w:r>
          </w:p>
        </w:tc>
        <w:tc>
          <w:tcPr>
            <w:tcW w:w="1650" w:type="dxa"/>
            <w:shd w:val="clear" w:color="auto" w:fill="auto"/>
            <w:vAlign w:val="center"/>
          </w:tcPr>
          <w:p w14:paraId="0417A36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人教股、审批股</w:t>
            </w:r>
          </w:p>
        </w:tc>
      </w:tr>
      <w:tr w14:paraId="55708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425" w:type="dxa"/>
            <w:vMerge w:val="continue"/>
            <w:shd w:val="clear" w:color="auto" w:fill="auto"/>
            <w:vAlign w:val="center"/>
          </w:tcPr>
          <w:p w14:paraId="488E8A7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p>
        </w:tc>
        <w:tc>
          <w:tcPr>
            <w:tcW w:w="1860" w:type="dxa"/>
            <w:shd w:val="clear" w:color="auto" w:fill="auto"/>
            <w:vAlign w:val="center"/>
          </w:tcPr>
          <w:p w14:paraId="116F2316">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组织多样化技能比武，或开展多种形式人社法治知识竞赛活动</w:t>
            </w:r>
          </w:p>
        </w:tc>
        <w:tc>
          <w:tcPr>
            <w:tcW w:w="5173" w:type="dxa"/>
            <w:shd w:val="clear" w:color="auto" w:fill="auto"/>
            <w:vAlign w:val="center"/>
          </w:tcPr>
          <w:p w14:paraId="41B164F0">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rPr>
              <w:t>按照人社部统一安排，适时组织全</w:t>
            </w:r>
            <w:r>
              <w:rPr>
                <w:rFonts w:hint="eastAsia" w:ascii="仿宋_GB2312" w:hAnsi="仿宋_GB2312" w:eastAsia="仿宋_GB2312" w:cs="仿宋_GB2312"/>
                <w:color w:val="auto"/>
                <w:spacing w:val="-11"/>
                <w:sz w:val="28"/>
                <w:szCs w:val="28"/>
                <w:lang w:val="en-US" w:eastAsia="zh-CN"/>
              </w:rPr>
              <w:t>区</w:t>
            </w:r>
            <w:r>
              <w:rPr>
                <w:rFonts w:hint="eastAsia" w:ascii="仿宋_GB2312" w:hAnsi="仿宋_GB2312" w:eastAsia="仿宋_GB2312" w:cs="仿宋_GB2312"/>
                <w:color w:val="auto"/>
                <w:spacing w:val="-11"/>
                <w:sz w:val="28"/>
                <w:szCs w:val="28"/>
              </w:rPr>
              <w:t>人社系统开展形式多样的技能比武或人社法治知识竞赛活动</w:t>
            </w:r>
            <w:r>
              <w:rPr>
                <w:rFonts w:hint="eastAsia" w:ascii="仿宋_GB2312" w:hAnsi="仿宋_GB2312" w:eastAsia="仿宋_GB2312" w:cs="仿宋_GB2312"/>
                <w:color w:val="auto"/>
                <w:spacing w:val="-11"/>
                <w:sz w:val="28"/>
                <w:szCs w:val="28"/>
                <w:lang w:eastAsia="zh-CN"/>
              </w:rPr>
              <w:t>。</w:t>
            </w:r>
          </w:p>
        </w:tc>
        <w:tc>
          <w:tcPr>
            <w:tcW w:w="580" w:type="dxa"/>
            <w:shd w:val="clear" w:color="auto" w:fill="auto"/>
            <w:vAlign w:val="center"/>
          </w:tcPr>
          <w:p w14:paraId="765779E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全年</w:t>
            </w:r>
          </w:p>
        </w:tc>
        <w:tc>
          <w:tcPr>
            <w:tcW w:w="1092" w:type="dxa"/>
            <w:shd w:val="clear" w:color="auto" w:fill="auto"/>
            <w:vAlign w:val="center"/>
          </w:tcPr>
          <w:p w14:paraId="3EAB334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全区</w:t>
            </w:r>
          </w:p>
        </w:tc>
        <w:tc>
          <w:tcPr>
            <w:tcW w:w="1990" w:type="dxa"/>
            <w:shd w:val="clear" w:color="auto" w:fill="auto"/>
            <w:vAlign w:val="center"/>
          </w:tcPr>
          <w:p w14:paraId="7D98ABB4">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rPr>
            </w:pPr>
            <w:r>
              <w:rPr>
                <w:rFonts w:hint="eastAsia" w:ascii="仿宋_GB2312" w:hAnsi="仿宋_GB2312" w:eastAsia="仿宋_GB2312" w:cs="仿宋_GB2312"/>
                <w:color w:val="auto"/>
                <w:spacing w:val="-11"/>
                <w:sz w:val="28"/>
                <w:szCs w:val="28"/>
                <w:lang w:val="en-US" w:eastAsia="en-US"/>
              </w:rPr>
              <w:t>1.</w:t>
            </w:r>
            <w:r>
              <w:rPr>
                <w:rFonts w:hint="eastAsia" w:ascii="仿宋_GB2312" w:hAnsi="仿宋_GB2312" w:eastAsia="仿宋_GB2312" w:cs="仿宋_GB2312"/>
                <w:color w:val="auto"/>
                <w:spacing w:val="-11"/>
                <w:sz w:val="28"/>
                <w:szCs w:val="28"/>
              </w:rPr>
              <w:t>系统干部职工</w:t>
            </w:r>
          </w:p>
          <w:p w14:paraId="5EAF27EF">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left"/>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2.面向服务企业群众的一线窗口，特别是</w:t>
            </w:r>
            <w:r>
              <w:rPr>
                <w:rFonts w:hint="eastAsia" w:ascii="仿宋_GB2312" w:hAnsi="仿宋_GB2312" w:eastAsia="仿宋_GB2312" w:cs="仿宋_GB2312"/>
                <w:color w:val="auto"/>
                <w:spacing w:val="-11"/>
                <w:sz w:val="28"/>
                <w:szCs w:val="28"/>
                <w:lang w:val="en-US" w:eastAsia="zh-CN"/>
              </w:rPr>
              <w:t>政务服务</w:t>
            </w:r>
            <w:r>
              <w:rPr>
                <w:rFonts w:hint="eastAsia" w:ascii="仿宋_GB2312" w:hAnsi="仿宋_GB2312" w:eastAsia="仿宋_GB2312" w:cs="仿宋_GB2312"/>
                <w:color w:val="auto"/>
                <w:spacing w:val="-11"/>
                <w:sz w:val="28"/>
                <w:szCs w:val="28"/>
              </w:rPr>
              <w:t>窗口工作人员</w:t>
            </w:r>
          </w:p>
        </w:tc>
        <w:tc>
          <w:tcPr>
            <w:tcW w:w="1110" w:type="dxa"/>
            <w:shd w:val="clear" w:color="auto" w:fill="auto"/>
            <w:vAlign w:val="center"/>
          </w:tcPr>
          <w:p w14:paraId="61EEADF2">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eastAsia" w:ascii="仿宋_GB2312" w:hAnsi="仿宋_GB2312" w:eastAsia="仿宋_GB2312" w:cs="仿宋_GB2312"/>
                <w:color w:val="auto"/>
                <w:spacing w:val="-11"/>
                <w:sz w:val="28"/>
                <w:szCs w:val="28"/>
                <w:lang w:val="en-US" w:eastAsia="en-US"/>
              </w:rPr>
            </w:pPr>
            <w:r>
              <w:rPr>
                <w:rFonts w:hint="eastAsia" w:ascii="仿宋_GB2312" w:hAnsi="仿宋_GB2312" w:eastAsia="仿宋_GB2312" w:cs="仿宋_GB2312"/>
                <w:color w:val="auto"/>
                <w:spacing w:val="-11"/>
                <w:sz w:val="28"/>
                <w:szCs w:val="28"/>
              </w:rPr>
              <w:t>多场次</w:t>
            </w:r>
          </w:p>
        </w:tc>
        <w:tc>
          <w:tcPr>
            <w:tcW w:w="1650" w:type="dxa"/>
            <w:shd w:val="clear" w:color="auto" w:fill="auto"/>
            <w:vAlign w:val="center"/>
          </w:tcPr>
          <w:p w14:paraId="16370441">
            <w:pPr>
              <w:pStyle w:val="9"/>
              <w:keepNext w:val="0"/>
              <w:keepLines w:val="0"/>
              <w:pageBreakBefore w:val="0"/>
              <w:widowControl/>
              <w:kinsoku w:val="0"/>
              <w:wordWrap/>
              <w:overflowPunct/>
              <w:topLinePunct w:val="0"/>
              <w:autoSpaceDE w:val="0"/>
              <w:autoSpaceDN w:val="0"/>
              <w:bidi w:val="0"/>
              <w:adjustRightInd w:val="0"/>
              <w:snapToGrid w:val="0"/>
              <w:spacing w:line="400" w:lineRule="exact"/>
              <w:ind w:right="0"/>
              <w:jc w:val="center"/>
              <w:textAlignment w:val="baseline"/>
              <w:rPr>
                <w:rFonts w:hint="default" w:ascii="仿宋_GB2312" w:hAnsi="仿宋_GB2312" w:eastAsia="仿宋_GB2312" w:cs="仿宋_GB2312"/>
                <w:color w:val="auto"/>
                <w:spacing w:val="-11"/>
                <w:sz w:val="28"/>
                <w:szCs w:val="28"/>
                <w:lang w:val="en-US" w:eastAsia="zh-CN"/>
              </w:rPr>
            </w:pPr>
            <w:r>
              <w:rPr>
                <w:rFonts w:hint="eastAsia" w:ascii="仿宋_GB2312" w:hAnsi="仿宋_GB2312" w:eastAsia="仿宋_GB2312" w:cs="仿宋_GB2312"/>
                <w:color w:val="auto"/>
                <w:spacing w:val="-11"/>
                <w:sz w:val="28"/>
                <w:szCs w:val="28"/>
                <w:lang w:val="en-US" w:eastAsia="zh-CN"/>
              </w:rPr>
              <w:t>人教股、法治股</w:t>
            </w:r>
          </w:p>
        </w:tc>
      </w:tr>
    </w:tbl>
    <w:p w14:paraId="538B0855">
      <w:pPr>
        <w:keepNext w:val="0"/>
        <w:keepLines w:val="0"/>
        <w:pageBreakBefore w:val="0"/>
        <w:overflowPunct/>
        <w:topLinePunct w:val="0"/>
        <w:bidi w:val="0"/>
        <w:spacing w:line="500" w:lineRule="exact"/>
        <w:ind w:right="0"/>
        <w:rPr>
          <w:rFonts w:ascii="Arial" w:hAnsi="Arial" w:eastAsia="Arial" w:cs="Arial"/>
          <w:color w:val="auto"/>
          <w:sz w:val="21"/>
          <w:szCs w:val="21"/>
        </w:rPr>
        <w:sectPr>
          <w:footerReference r:id="rId6" w:type="default"/>
          <w:pgSz w:w="16839" w:h="11906"/>
          <w:pgMar w:top="1012" w:right="1591" w:bottom="1363" w:left="1323" w:header="0" w:footer="1146" w:gutter="0"/>
          <w:pgNumType w:fmt="decimal"/>
          <w:cols w:space="720" w:num="1"/>
        </w:sectPr>
      </w:pPr>
    </w:p>
    <w:p w14:paraId="10F4C60C">
      <w:pPr>
        <w:pStyle w:val="2"/>
        <w:keepNext w:val="0"/>
        <w:keepLines w:val="0"/>
        <w:pageBreakBefore w:val="0"/>
        <w:wordWrap/>
        <w:overflowPunct/>
        <w:topLinePunct w:val="0"/>
        <w:bidi w:val="0"/>
        <w:spacing w:line="520" w:lineRule="exact"/>
        <w:ind w:right="0"/>
        <w:rPr>
          <w:rFonts w:hint="default" w:ascii="仿宋_GB2312" w:hAnsi="仿宋_GB2312" w:eastAsia="仿宋_GB2312" w:cs="仿宋_GB2312"/>
          <w:snapToGrid/>
          <w:color w:val="auto"/>
          <w:sz w:val="32"/>
          <w:szCs w:val="32"/>
          <w:lang w:val="en-US" w:eastAsia="zh-CN"/>
        </w:rPr>
      </w:pPr>
    </w:p>
    <w:sectPr>
      <w:footerReference r:id="rId7"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7D47D">
    <w:pPr>
      <w:spacing w:line="176" w:lineRule="auto"/>
      <w:ind w:left="12936"/>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B885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6B885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5EDF9">
    <w:pPr>
      <w:spacing w:line="179" w:lineRule="auto"/>
      <w:jc w:val="right"/>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E23B1">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78E23B1">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79236">
    <w:pPr>
      <w:spacing w:line="179" w:lineRule="auto"/>
      <w:rPr>
        <w:rFonts w:ascii="Times New Roman" w:hAnsi="Times New Roman" w:eastAsia="Times New Roman" w:cs="Times New Roman"/>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A9ED9">
                          <w:pPr>
                            <w:pStyle w:val="3"/>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76A9ED9">
                    <w:pPr>
                      <w:pStyle w:val="3"/>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A0D70"/>
    <w:rsid w:val="01C96909"/>
    <w:rsid w:val="0345705E"/>
    <w:rsid w:val="07A07BF6"/>
    <w:rsid w:val="07AD2313"/>
    <w:rsid w:val="088C1F29"/>
    <w:rsid w:val="09F76158"/>
    <w:rsid w:val="0C2030B4"/>
    <w:rsid w:val="0DBA233F"/>
    <w:rsid w:val="0EE34044"/>
    <w:rsid w:val="15FE3226"/>
    <w:rsid w:val="19687E48"/>
    <w:rsid w:val="1C1B73F4"/>
    <w:rsid w:val="1F736E9B"/>
    <w:rsid w:val="21D7200F"/>
    <w:rsid w:val="23164DB9"/>
    <w:rsid w:val="26B152F0"/>
    <w:rsid w:val="2AB949A8"/>
    <w:rsid w:val="2F947791"/>
    <w:rsid w:val="33C42FAD"/>
    <w:rsid w:val="374D1D52"/>
    <w:rsid w:val="38AE3672"/>
    <w:rsid w:val="396B1077"/>
    <w:rsid w:val="3CAB143F"/>
    <w:rsid w:val="3DD455E1"/>
    <w:rsid w:val="435B6F64"/>
    <w:rsid w:val="45203D37"/>
    <w:rsid w:val="46744693"/>
    <w:rsid w:val="48E15588"/>
    <w:rsid w:val="48E50A71"/>
    <w:rsid w:val="4DD17049"/>
    <w:rsid w:val="4FB75AAE"/>
    <w:rsid w:val="55172147"/>
    <w:rsid w:val="55857A6A"/>
    <w:rsid w:val="59C53F20"/>
    <w:rsid w:val="5B2829B8"/>
    <w:rsid w:val="5B31139F"/>
    <w:rsid w:val="5B436148"/>
    <w:rsid w:val="5B757912"/>
    <w:rsid w:val="63EFC686"/>
    <w:rsid w:val="646A267A"/>
    <w:rsid w:val="647749B0"/>
    <w:rsid w:val="66CA0555"/>
    <w:rsid w:val="66DF57F8"/>
    <w:rsid w:val="679F5263"/>
    <w:rsid w:val="6FB139FE"/>
    <w:rsid w:val="70FF3D63"/>
    <w:rsid w:val="73610D05"/>
    <w:rsid w:val="77523F79"/>
    <w:rsid w:val="77557471"/>
    <w:rsid w:val="788115A6"/>
    <w:rsid w:val="7BF385CA"/>
    <w:rsid w:val="7DFBF2D3"/>
    <w:rsid w:val="7EDD286E"/>
    <w:rsid w:val="7FEE56CF"/>
    <w:rsid w:val="D7FF775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8"/>
      <w:szCs w:val="2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customStyle="1" w:styleId="8">
    <w:name w:val="Table Normal"/>
    <w:autoRedefine/>
    <w:semiHidden/>
    <w:unhideWhenUsed/>
    <w:qFormat/>
    <w:uiPriority w:val="0"/>
    <w:tblPr>
      <w:tblCellMar>
        <w:top w:w="0" w:type="dxa"/>
        <w:left w:w="0" w:type="dxa"/>
        <w:bottom w:w="0" w:type="dxa"/>
        <w:right w:w="0" w:type="dxa"/>
      </w:tblCellMar>
    </w:tblPr>
  </w:style>
  <w:style w:type="paragraph" w:customStyle="1" w:styleId="9">
    <w:name w:val="Table Text"/>
    <w:basedOn w:val="1"/>
    <w:autoRedefine/>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f8f44574-9211-4430-b282-649d0efc411e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6E1D9D2D</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0bfc5b22-63d1-4dc0-8886-ba6ed946d994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3DA8A43B</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5e1de533-2b34-4d8b-b3c7-19840291ae37</errorID>
      <errorWord xmlns="http://schemas.wps.cn/vas-ai-hub/contract-review">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间节</item>
      </candidateList>
      <explain xmlns="http://schemas.wps.cn/vas-ai-hub/contract-review"/>
      <paraID xmlns="http://schemas.wps.cn/vas-ai-hub/contract-review">22F5F5D0</paraID>
      <start xmlns="http://schemas.wps.cn/vas-ai-hub/contract-review">48</start>
      <end xmlns="http://schemas.wps.cn/vas-ai-hub/contract-review">50</end>
      <status xmlns="http://schemas.wps.cn/vas-ai-hub/contract-review">modified</status>
      <modifiedWord xmlns="http://schemas.wps.cn/vas-ai-hub/contract-review">间节</modifiedWord>
      <trackRevisions xmlns="http://schemas.wps.cn/vas-ai-hub/contract-review">false</trackRevisions>
    </reviewItem>
    <reviewItem xmlns="http://schemas.wps.cn/vas-ai-hub/contract-review">
      <errorID xmlns="http://schemas.wps.cn/vas-ai-hub/contract-review">c3918963-3ff8-4f0a-bcce-7eb855f77b45</errorID>
      <errorWord xmlns="http://schemas.wps.cn/vas-ai-hub/contract-review">各故事、各单位</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各股室、各单位</item>
      </candidateList>
      <explain xmlns="http://schemas.wps.cn/vas-ai-hub/contract-review">实体一致性问题，前文统一表述为‘各股室、各单位’，此处‘故事’应为‘股室’的错误表述</explain>
      <paraID xmlns="http://schemas.wps.cn/vas-ai-hub/contract-review">3EBA5B90</paraID>
      <start xmlns="http://schemas.wps.cn/vas-ai-hub/contract-review">13</start>
      <end xmlns="http://schemas.wps.cn/vas-ai-hub/contract-review">20</end>
      <status xmlns="http://schemas.wps.cn/vas-ai-hub/contract-review">modified</status>
      <modifiedWord xmlns="http://schemas.wps.cn/vas-ai-hub/contract-review">各股室、各单位</modifiedWord>
      <trackRevisions xmlns="http://schemas.wps.cn/vas-ai-hub/contract-review">false</trackRevisions>
    </reviewItem>
    <reviewItem xmlns="http://schemas.wps.cn/vas-ai-hub/contract-review">
      <errorID xmlns="http://schemas.wps.cn/vas-ai-hub/contract-review">c024ae74-abac-43f8-b472-ba1bae958ada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item>
      </candidateList>
      <explain xmlns="http://schemas.wps.cn/vas-ai-hub/contract-review"/>
      <paraID xmlns="http://schemas.wps.cn/vas-ai-hub/contract-review"> A01F62F</paraID>
      <start xmlns="http://schemas.wps.cn/vas-ai-hub/contract-review">43</start>
      <end xmlns="http://schemas.wps.cn/vas-ai-hub/contract-review">45</end>
      <status xmlns="http://schemas.wps.cn/vas-ai-hub/contract-review">modified</status>
      <modifiedWord xmlns="http://schemas.wps.cn/vas-ai-hub/contract-review">，将</modifiedWord>
      <trackRevisions xmlns="http://schemas.wps.cn/vas-ai-hub/contract-review">false</trackRevisions>
    </reviewItem>
    <reviewItem xmlns="http://schemas.wps.cn/vas-ai-hub/contract-review">
      <errorID xmlns="http://schemas.wps.cn/vas-ai-hub/contract-review">4639ed33-dad2-4d48-842d-9976c99160c7</errorID>
      <errorWord xmlns="http://schemas.wps.cn/vas-ai-hub/contract-review">梳理报送的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梳理</item>
      </candidateList>
      <explain xmlns="http://schemas.wps.cn/vas-ai-hub/contract-review"/>
      <paraID xmlns="http://schemas.wps.cn/vas-ai-hub/contract-review">49EA2087</paraID>
      <start xmlns="http://schemas.wps.cn/vas-ai-hub/contract-review">3</start>
      <end xmlns="http://schemas.wps.cn/vas-ai-hub/contract-review">5</end>
      <status xmlns="http://schemas.wps.cn/vas-ai-hub/contract-review">modified</status>
      <modifiedWord xmlns="http://schemas.wps.cn/vas-ai-hub/contract-review">梳理</modifiedWord>
      <trackRevisions xmlns="http://schemas.wps.cn/vas-ai-hub/contract-review">false</trackRevisions>
    </reviewItem>
    <reviewItem xmlns="http://schemas.wps.cn/vas-ai-hub/contract-review">
      <errorID xmlns="http://schemas.wps.cn/vas-ai-hub/contract-review">d94e922f-2f08-4df3-a313-baa9994e7080</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，报送</item>
      </candidateList>
      <explain xmlns="http://schemas.wps.cn/vas-ai-hub/contract-review"/>
      <paraID xmlns="http://schemas.wps.cn/vas-ai-hub/contract-review">49EA2087</paraID>
      <start xmlns="http://schemas.wps.cn/vas-ai-hub/contract-review">9</start>
      <end xmlns="http://schemas.wps.cn/vas-ai-hub/contract-review">12</end>
      <status xmlns="http://schemas.wps.cn/vas-ai-hub/contract-review">modified</status>
      <modifiedWord xmlns="http://schemas.wps.cn/vas-ai-hub/contract-review">，报送</modifiedWord>
      <trackRevisions xmlns="http://schemas.wps.cn/vas-ai-hub/contract-review">false</trackRevisions>
    </reviewItem>
    <reviewItem xmlns="http://schemas.wps.cn/vas-ai-hub/contract-review">
      <errorID xmlns="http://schemas.wps.cn/vas-ai-hub/contract-review">8c1254a3-4795-464b-9f99-1fcfd1742b25</errorID>
      <errorWord xmlns="http://schemas.wps.cn/vas-ai-hub/contract-review">镜头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视频</item>
      </candidateList>
      <explain xmlns="http://schemas.wps.cn/vas-ai-hub/contract-review"/>
      <paraID xmlns="http://schemas.wps.cn/vas-ai-hub/contract-review">30063656</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6feea44a-3e69-4a36-a752-d248d4a42e3c</errorID>
      <errorWord xmlns="http://schemas.wps.cn/vas-ai-hub/contract-review">新就业形态劳动权益</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新就业形态劳动者权益</item>
      </candidateList>
      <explain xmlns="http://schemas.wps.cn/vas-ai-hub/contract-review">词汇“新就业形态劳动者权益”在特定场景下为固定表述形式，请确认此处的“新就业形态劳动权益”是否存在不当。</explain>
      <paraID xmlns="http://schemas.wps.cn/vas-ai-hub/contract-review">7C4510B7</paraID>
      <start xmlns="http://schemas.wps.cn/vas-ai-hub/contract-review">0</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1b0cecb3-b71b-431b-b43a-6ebc634768ef</errorID>
      <errorWord xmlns="http://schemas.wps.cn/vas-ai-hub/contract-review">劳动法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中华人民共和国劳动法</item>
      </candidateList>
      <explain xmlns="http://schemas.wps.cn/vas-ai-hub/contract-review">当前法律法规名称使用简称，请注意是否应当使用全称。</explain>
      <paraID xmlns="http://schemas.wps.cn/vas-ai-hub/contract-review">184884BF</paraID>
      <start xmlns="http://schemas.wps.cn/vas-ai-hub/contract-review">3</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c6f86fa6-e47e-42db-9732-0dc0a6ba325a</errorID>
      <errorWord xmlns="http://schemas.wps.cn/vas-ai-hub/contract-review">劳动合同法</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中华人民共和国劳动合同法</item>
      </candidateList>
      <explain xmlns="http://schemas.wps.cn/vas-ai-hub/contract-review">当前法律法规名称使用简称，请注意是否应当使用全称。</explain>
      <paraID xmlns="http://schemas.wps.cn/vas-ai-hub/contract-review">184884BF</paraID>
      <start xmlns="http://schemas.wps.cn/vas-ai-hub/contract-review">8</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8a5989c3-1f1c-451d-9fde-5816b0987038</errorID>
      <errorWord xmlns="http://schemas.wps.cn/vas-ai-hub/contract-review">开展调研调查</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开展调研</item>
      </candidateList>
      <explain xmlns="http://schemas.wps.cn/vas-ai-hub/contract-review"/>
      <paraID xmlns="http://schemas.wps.cn/vas-ai-hub/contract-review">4B2A7BAF</paraID>
      <start xmlns="http://schemas.wps.cn/vas-ai-hub/contract-review">0</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847092aa-d7d3-4b47-85f2-c809eca6c87d</errorID>
      <errorWord xmlns="http://schemas.wps.cn/vas-ai-hub/contract-review">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随州</item>
      </candidateList>
      <explain xmlns="http://schemas.wps.cn/vas-ai-hub/contract-review"/>
      <paraID xmlns="http://schemas.wps.cn/vas-ai-hub/contract-review">63F886FF</paraID>
      <start xmlns="http://schemas.wps.cn/vas-ai-hub/contract-review">55</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51d95cc4-e086-4afb-94c6-bc487134a400</errorID>
      <errorWord xmlns="http://schemas.wps.cn/vas-ai-hub/contract-review">联合即制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联合制即</item>
      </candidateList>
      <explain xmlns="http://schemas.wps.cn/vas-ai-hub/contract-review"/>
      <paraID xmlns="http://schemas.wps.cn/vas-ai-hub/contract-review">  6933EB</paraID>
      <start xmlns="http://schemas.wps.cn/vas-ai-hub/contract-review">2</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c9c7d498-5f85-45d6-9d40-7fb9a8a0f846</errorID>
      <errorWord xmlns="http://schemas.wps.cn/vas-ai-hub/contract-review">学习教育活动</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学习教育</item>
      </candidateList>
      <explain xmlns="http://schemas.wps.cn/vas-ai-hub/contract-review"/>
      <paraID xmlns="http://schemas.wps.cn/vas-ai-hub/contract-review">3ADF7B2E</paraID>
      <start xmlns="http://schemas.wps.cn/vas-ai-hub/contract-review">10</start>
      <end xmlns="http://schemas.wps.cn/vas-ai-hub/contract-review">16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aed369-0503-46ba-89ea-1d960c3d516e}">
  <ds:schemaRefs/>
</ds:datastoreItem>
</file>

<file path=docProps/app.xml><?xml version="1.0" encoding="utf-8"?>
<Properties xmlns="http://schemas.openxmlformats.org/officeDocument/2006/extended-properties" xmlns:vt="http://schemas.openxmlformats.org/officeDocument/2006/docPropsVTypes">
  <Pages>6</Pages>
  <Words>2560</Words>
  <Characters>2577</Characters>
  <Lines>0</Lines>
  <Paragraphs>0</Paragraphs>
  <TotalTime>0</TotalTime>
  <ScaleCrop>false</ScaleCrop>
  <LinksUpToDate>false</LinksUpToDate>
  <CharactersWithSpaces>2577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2026-02-09T15:31:00Z</dcterms:created>
  <dc:creator>Administrator</dc:creator>
  <cp:lastModifiedBy>汐尹酱</cp:lastModifiedBy>
  <cp:lastPrinted>2026-04-20T09:30:00Z</cp:lastPrinted>
  <dcterms:modified xsi:type="dcterms:W3CDTF">2026-04-22T01:04:55Z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eyJoZGlkIjoiYTdhZTdlMGNhNjJlM2UxMzcxZjJjYjMxZDVmOGI4NzIiLCJ1c2VySWQiOiI0NTE1MzU4NzcifQ==</vt:lpwstr>
  </property>
  <property fmtid="{D5CDD505-2E9C-101B-9397-08002B2CF9AE}" pid="4" name="ICV">
    <vt:lpwstr>76F5830BB426DF465A97E5693270E0C6_43</vt:lpwstr>
  </property>
</Properties>
</file>