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1C842">
      <w:pPr>
        <w:spacing w:before="170" w:line="224" w:lineRule="auto"/>
        <w:ind w:left="3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3"/>
          <w:sz w:val="31"/>
          <w:szCs w:val="31"/>
        </w:rPr>
        <w:t>附件1</w:t>
      </w:r>
    </w:p>
    <w:p w14:paraId="371AC193">
      <w:pPr>
        <w:spacing w:line="201" w:lineRule="auto"/>
        <w:ind w:left="276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4"/>
          <w:sz w:val="40"/>
          <w:szCs w:val="40"/>
        </w:rPr>
        <w:t>区人社系统2026年“人社惠民政策进万家”活动计划表</w:t>
      </w:r>
    </w:p>
    <w:tbl>
      <w:tblPr>
        <w:tblStyle w:val="6"/>
        <w:tblW w:w="144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4"/>
        <w:gridCol w:w="11042"/>
        <w:gridCol w:w="1854"/>
      </w:tblGrid>
      <w:tr w14:paraId="772CE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534" w:type="dxa"/>
            <w:vAlign w:val="top"/>
          </w:tcPr>
          <w:p w14:paraId="5DF68306">
            <w:pPr>
              <w:pStyle w:val="5"/>
              <w:spacing w:before="156" w:line="221" w:lineRule="auto"/>
              <w:ind w:left="299"/>
            </w:pPr>
            <w:r>
              <w:rPr>
                <w:b/>
                <w:bCs/>
                <w:spacing w:val="-15"/>
              </w:rPr>
              <w:t>时</w:t>
            </w:r>
            <w:r>
              <w:rPr>
                <w:spacing w:val="5"/>
              </w:rPr>
              <w:t xml:space="preserve">   </w:t>
            </w:r>
            <w:r>
              <w:rPr>
                <w:b/>
                <w:bCs/>
                <w:spacing w:val="-15"/>
              </w:rPr>
              <w:t>间</w:t>
            </w:r>
          </w:p>
        </w:tc>
        <w:tc>
          <w:tcPr>
            <w:tcW w:w="11042" w:type="dxa"/>
            <w:vAlign w:val="top"/>
          </w:tcPr>
          <w:p w14:paraId="6D313763">
            <w:pPr>
              <w:pStyle w:val="5"/>
              <w:spacing w:before="152" w:line="219" w:lineRule="auto"/>
              <w:ind w:left="4865"/>
            </w:pPr>
            <w:r>
              <w:rPr>
                <w:b/>
                <w:bCs/>
                <w:spacing w:val="-6"/>
              </w:rPr>
              <w:t>工作任务</w:t>
            </w:r>
          </w:p>
        </w:tc>
        <w:tc>
          <w:tcPr>
            <w:tcW w:w="1854" w:type="dxa"/>
            <w:vAlign w:val="top"/>
          </w:tcPr>
          <w:p w14:paraId="5E1B9DEF">
            <w:pPr>
              <w:pStyle w:val="5"/>
              <w:spacing w:before="152" w:line="219" w:lineRule="auto"/>
              <w:ind w:left="363"/>
            </w:pPr>
            <w:r>
              <w:rPr>
                <w:b/>
                <w:bCs/>
                <w:spacing w:val="-3"/>
              </w:rPr>
              <w:t>责任单位</w:t>
            </w:r>
          </w:p>
        </w:tc>
      </w:tr>
      <w:tr w14:paraId="56173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1534" w:type="dxa"/>
            <w:vAlign w:val="top"/>
          </w:tcPr>
          <w:p w14:paraId="2DA0051C">
            <w:pPr>
              <w:spacing w:line="349" w:lineRule="auto"/>
              <w:rPr>
                <w:rFonts w:ascii="Arial"/>
                <w:sz w:val="21"/>
              </w:rPr>
            </w:pPr>
          </w:p>
          <w:p w14:paraId="6ACDAD4A">
            <w:pPr>
              <w:pStyle w:val="5"/>
              <w:spacing w:before="91" w:line="219" w:lineRule="auto"/>
              <w:ind w:left="125"/>
            </w:pPr>
            <w:r>
              <w:rPr>
                <w:spacing w:val="2"/>
              </w:rPr>
              <w:t>4月20日前</w:t>
            </w:r>
          </w:p>
        </w:tc>
        <w:tc>
          <w:tcPr>
            <w:tcW w:w="11042" w:type="dxa"/>
            <w:vAlign w:val="top"/>
          </w:tcPr>
          <w:p w14:paraId="170AC709">
            <w:pPr>
              <w:pStyle w:val="5"/>
              <w:spacing w:before="280" w:line="260" w:lineRule="auto"/>
              <w:ind w:left="11" w:right="79"/>
            </w:pPr>
            <w:r>
              <w:rPr>
                <w:spacing w:val="1"/>
              </w:rPr>
              <w:t>制定“人社惠民政策进万家”活动工作方案、</w:t>
            </w:r>
            <w:r>
              <w:t>宣讲计划，建立工作机制和工作台账，明确 专人负责，将相关资料报市人社局备案。</w:t>
            </w:r>
          </w:p>
        </w:tc>
        <w:tc>
          <w:tcPr>
            <w:tcW w:w="1854" w:type="dxa"/>
            <w:vAlign w:val="top"/>
          </w:tcPr>
          <w:p w14:paraId="5A6ADFE3">
            <w:pPr>
              <w:spacing w:line="353" w:lineRule="auto"/>
              <w:rPr>
                <w:rFonts w:ascii="Arial"/>
                <w:sz w:val="21"/>
              </w:rPr>
            </w:pPr>
          </w:p>
          <w:p w14:paraId="56A9C208">
            <w:pPr>
              <w:pStyle w:val="5"/>
              <w:spacing w:before="91" w:line="221" w:lineRule="auto"/>
              <w:ind w:left="499"/>
            </w:pPr>
            <w:r>
              <w:rPr>
                <w:spacing w:val="4"/>
              </w:rPr>
              <w:t>法治股</w:t>
            </w:r>
          </w:p>
        </w:tc>
      </w:tr>
      <w:tr w14:paraId="49C60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1534" w:type="dxa"/>
            <w:vAlign w:val="top"/>
          </w:tcPr>
          <w:p w14:paraId="08952B19">
            <w:pPr>
              <w:pStyle w:val="5"/>
              <w:spacing w:before="253" w:line="219" w:lineRule="auto"/>
              <w:ind w:left="125"/>
            </w:pPr>
            <w:r>
              <w:rPr>
                <w:spacing w:val="2"/>
              </w:rPr>
              <w:t>4月20日前</w:t>
            </w:r>
          </w:p>
        </w:tc>
        <w:tc>
          <w:tcPr>
            <w:tcW w:w="11042" w:type="dxa"/>
            <w:vAlign w:val="top"/>
          </w:tcPr>
          <w:p w14:paraId="5F458B68">
            <w:pPr>
              <w:pStyle w:val="5"/>
              <w:spacing w:before="251" w:line="219" w:lineRule="auto"/>
              <w:ind w:left="11"/>
            </w:pPr>
            <w:r>
              <w:rPr>
                <w:spacing w:val="-1"/>
              </w:rPr>
              <w:t>对全区活动安排情况在政府网站公布。</w:t>
            </w:r>
          </w:p>
        </w:tc>
        <w:tc>
          <w:tcPr>
            <w:tcW w:w="1854" w:type="dxa"/>
            <w:vAlign w:val="top"/>
          </w:tcPr>
          <w:p w14:paraId="5DEC0729">
            <w:pPr>
              <w:pStyle w:val="5"/>
              <w:spacing w:before="253" w:line="219" w:lineRule="auto"/>
              <w:jc w:val="right"/>
            </w:pPr>
            <w:r>
              <w:rPr>
                <w:spacing w:val="-21"/>
              </w:rPr>
              <w:t>办公室、法</w:t>
            </w:r>
            <w:r>
              <w:rPr>
                <w:spacing w:val="-20"/>
              </w:rPr>
              <w:t>治</w:t>
            </w:r>
            <w:r>
              <w:rPr>
                <w:spacing w:val="-15"/>
              </w:rPr>
              <w:t>股</w:t>
            </w:r>
          </w:p>
        </w:tc>
      </w:tr>
      <w:tr w14:paraId="2D8D4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534" w:type="dxa"/>
            <w:vMerge w:val="restart"/>
            <w:tcBorders>
              <w:bottom w:val="nil"/>
            </w:tcBorders>
            <w:vAlign w:val="top"/>
          </w:tcPr>
          <w:p w14:paraId="0705C807">
            <w:pPr>
              <w:spacing w:line="271" w:lineRule="auto"/>
              <w:rPr>
                <w:rFonts w:ascii="Arial"/>
                <w:sz w:val="21"/>
              </w:rPr>
            </w:pPr>
          </w:p>
          <w:p w14:paraId="78EB6338">
            <w:pPr>
              <w:spacing w:line="271" w:lineRule="auto"/>
              <w:rPr>
                <w:rFonts w:ascii="Arial"/>
                <w:sz w:val="21"/>
              </w:rPr>
            </w:pPr>
          </w:p>
          <w:p w14:paraId="324796F2">
            <w:pPr>
              <w:spacing w:line="271" w:lineRule="auto"/>
              <w:rPr>
                <w:rFonts w:ascii="Arial"/>
                <w:sz w:val="21"/>
              </w:rPr>
            </w:pPr>
          </w:p>
          <w:p w14:paraId="6CC4AABC">
            <w:pPr>
              <w:spacing w:line="272" w:lineRule="auto"/>
              <w:rPr>
                <w:rFonts w:ascii="Arial"/>
                <w:sz w:val="21"/>
              </w:rPr>
            </w:pPr>
          </w:p>
          <w:p w14:paraId="4D34C92D">
            <w:pPr>
              <w:spacing w:line="272" w:lineRule="auto"/>
              <w:rPr>
                <w:rFonts w:ascii="Arial"/>
                <w:sz w:val="21"/>
              </w:rPr>
            </w:pPr>
          </w:p>
          <w:p w14:paraId="1CE2A4CD">
            <w:pPr>
              <w:spacing w:line="272" w:lineRule="auto"/>
              <w:rPr>
                <w:rFonts w:ascii="Arial"/>
                <w:sz w:val="21"/>
              </w:rPr>
            </w:pPr>
          </w:p>
          <w:p w14:paraId="0EB526EF">
            <w:pPr>
              <w:spacing w:line="272" w:lineRule="auto"/>
              <w:rPr>
                <w:rFonts w:ascii="Arial"/>
                <w:sz w:val="21"/>
              </w:rPr>
            </w:pPr>
          </w:p>
          <w:p w14:paraId="1162B62A">
            <w:pPr>
              <w:pStyle w:val="5"/>
              <w:spacing w:before="91" w:line="219" w:lineRule="auto"/>
              <w:ind w:left="334"/>
            </w:pPr>
            <w:r>
              <w:rPr>
                <w:spacing w:val="-14"/>
              </w:rPr>
              <w:t>3—12月</w:t>
            </w:r>
          </w:p>
        </w:tc>
        <w:tc>
          <w:tcPr>
            <w:tcW w:w="11042" w:type="dxa"/>
            <w:vAlign w:val="top"/>
          </w:tcPr>
          <w:p w14:paraId="6C7F11BF">
            <w:pPr>
              <w:pStyle w:val="5"/>
              <w:spacing w:before="161" w:line="243" w:lineRule="auto"/>
              <w:ind w:left="11"/>
            </w:pPr>
            <w:r>
              <w:rPr>
                <w:spacing w:val="3"/>
              </w:rPr>
              <w:t>1.灵活运用微动漫、微视频、政策问答等</w:t>
            </w:r>
            <w:r>
              <w:rPr>
                <w:spacing w:val="2"/>
              </w:rPr>
              <w:t>多种形式进行政策宣传，广泛开展“五进五促”</w:t>
            </w:r>
            <w:r>
              <w:t xml:space="preserve"> </w:t>
            </w:r>
            <w:r>
              <w:rPr>
                <w:spacing w:val="-4"/>
              </w:rPr>
              <w:t>政策宣讲活动。</w:t>
            </w:r>
          </w:p>
        </w:tc>
        <w:tc>
          <w:tcPr>
            <w:tcW w:w="1854" w:type="dxa"/>
            <w:vAlign w:val="top"/>
          </w:tcPr>
          <w:p w14:paraId="3E2A3111">
            <w:pPr>
              <w:pStyle w:val="5"/>
              <w:spacing w:before="161" w:line="243" w:lineRule="auto"/>
              <w:ind w:left="205" w:hanging="186"/>
            </w:pPr>
            <w:r>
              <w:rPr>
                <w:spacing w:val="-20"/>
              </w:rPr>
              <w:t>局机关各股室、</w:t>
            </w:r>
            <w:r>
              <w:rPr>
                <w:spacing w:val="3"/>
              </w:rPr>
              <w:t xml:space="preserve"> </w:t>
            </w:r>
            <w:r>
              <w:rPr>
                <w:spacing w:val="-14"/>
              </w:rPr>
              <w:t>局属各单位</w:t>
            </w:r>
          </w:p>
        </w:tc>
      </w:tr>
      <w:tr w14:paraId="2F73D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534" w:type="dxa"/>
            <w:vMerge w:val="continue"/>
            <w:tcBorders>
              <w:top w:val="nil"/>
              <w:bottom w:val="nil"/>
            </w:tcBorders>
            <w:vAlign w:val="top"/>
          </w:tcPr>
          <w:p w14:paraId="2B275D3F">
            <w:pPr>
              <w:rPr>
                <w:rFonts w:ascii="Arial"/>
                <w:sz w:val="21"/>
              </w:rPr>
            </w:pPr>
          </w:p>
        </w:tc>
        <w:tc>
          <w:tcPr>
            <w:tcW w:w="11042" w:type="dxa"/>
            <w:vAlign w:val="top"/>
          </w:tcPr>
          <w:p w14:paraId="52036711">
            <w:pPr>
              <w:pStyle w:val="5"/>
              <w:spacing w:before="103" w:line="226" w:lineRule="auto"/>
              <w:ind w:left="11" w:right="88"/>
            </w:pPr>
            <w:r>
              <w:t>2.组织人社政策法规日常学习教育，增强系统干部政治素养、业务能力和服务本领，积极</w:t>
            </w:r>
            <w:r>
              <w:rPr>
                <w:spacing w:val="11"/>
              </w:rPr>
              <w:t xml:space="preserve"> </w:t>
            </w:r>
            <w:r>
              <w:t>引导企事业单位、人力资源服务机构和社会公众等学习人社政策，营造良好学习氛</w:t>
            </w:r>
            <w:r>
              <w:rPr>
                <w:spacing w:val="-1"/>
              </w:rPr>
              <w:t>围。</w:t>
            </w:r>
          </w:p>
        </w:tc>
        <w:tc>
          <w:tcPr>
            <w:tcW w:w="1854" w:type="dxa"/>
            <w:vAlign w:val="top"/>
          </w:tcPr>
          <w:p w14:paraId="6004E395">
            <w:pPr>
              <w:pStyle w:val="5"/>
              <w:spacing w:before="265" w:line="219" w:lineRule="auto"/>
              <w:jc w:val="right"/>
            </w:pPr>
            <w:r>
              <w:rPr>
                <w:spacing w:val="-21"/>
              </w:rPr>
              <w:t>人教股、法</w:t>
            </w:r>
            <w:r>
              <w:rPr>
                <w:spacing w:val="-20"/>
              </w:rPr>
              <w:t>治</w:t>
            </w:r>
            <w:r>
              <w:rPr>
                <w:spacing w:val="-15"/>
              </w:rPr>
              <w:t>股</w:t>
            </w:r>
          </w:p>
        </w:tc>
      </w:tr>
      <w:tr w14:paraId="48D70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1534" w:type="dxa"/>
            <w:vMerge w:val="continue"/>
            <w:tcBorders>
              <w:top w:val="nil"/>
              <w:bottom w:val="nil"/>
            </w:tcBorders>
            <w:vAlign w:val="top"/>
          </w:tcPr>
          <w:p w14:paraId="5E34A499">
            <w:pPr>
              <w:rPr>
                <w:rFonts w:ascii="Arial"/>
                <w:sz w:val="21"/>
              </w:rPr>
            </w:pPr>
          </w:p>
        </w:tc>
        <w:tc>
          <w:tcPr>
            <w:tcW w:w="11042" w:type="dxa"/>
            <w:vAlign w:val="top"/>
          </w:tcPr>
          <w:p w14:paraId="11C4156A">
            <w:pPr>
              <w:spacing w:line="342" w:lineRule="auto"/>
              <w:rPr>
                <w:rFonts w:ascii="Arial"/>
                <w:sz w:val="21"/>
              </w:rPr>
            </w:pPr>
          </w:p>
          <w:p w14:paraId="300494F5">
            <w:pPr>
              <w:pStyle w:val="5"/>
              <w:spacing w:before="91" w:line="265" w:lineRule="auto"/>
              <w:ind w:left="11" w:right="90"/>
            </w:pPr>
            <w:r>
              <w:t>3.按照各级人社部门的工作安排，组织开展人社法治知识竞赛活动，积极组织人员参加法</w:t>
            </w:r>
            <w:r>
              <w:rPr>
                <w:spacing w:val="8"/>
              </w:rPr>
              <w:t xml:space="preserve"> </w:t>
            </w:r>
            <w:r>
              <w:t>治宣讲比武活动。开展政策轮训，宣讲骨干培养，打造知识通、一口清宣讲员队伍。</w:t>
            </w:r>
          </w:p>
        </w:tc>
        <w:tc>
          <w:tcPr>
            <w:tcW w:w="1854" w:type="dxa"/>
            <w:vAlign w:val="top"/>
          </w:tcPr>
          <w:p w14:paraId="25A8D476">
            <w:pPr>
              <w:spacing w:line="256" w:lineRule="auto"/>
              <w:rPr>
                <w:rFonts w:ascii="Arial"/>
                <w:sz w:val="21"/>
              </w:rPr>
            </w:pPr>
          </w:p>
          <w:p w14:paraId="501F065F">
            <w:pPr>
              <w:spacing w:line="256" w:lineRule="auto"/>
              <w:rPr>
                <w:rFonts w:ascii="Arial"/>
                <w:sz w:val="21"/>
              </w:rPr>
            </w:pPr>
          </w:p>
          <w:p w14:paraId="51A9EDDB">
            <w:pPr>
              <w:pStyle w:val="5"/>
              <w:spacing w:before="91" w:line="219" w:lineRule="auto"/>
              <w:jc w:val="right"/>
            </w:pPr>
            <w:r>
              <w:rPr>
                <w:spacing w:val="-21"/>
              </w:rPr>
              <w:t>办公室、法</w:t>
            </w:r>
            <w:r>
              <w:rPr>
                <w:spacing w:val="-20"/>
              </w:rPr>
              <w:t>治</w:t>
            </w:r>
            <w:r>
              <w:rPr>
                <w:spacing w:val="-15"/>
              </w:rPr>
              <w:t>股</w:t>
            </w:r>
          </w:p>
        </w:tc>
      </w:tr>
      <w:tr w14:paraId="3D211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534" w:type="dxa"/>
            <w:vMerge w:val="continue"/>
            <w:tcBorders>
              <w:top w:val="nil"/>
            </w:tcBorders>
            <w:vAlign w:val="top"/>
          </w:tcPr>
          <w:p w14:paraId="57629789">
            <w:pPr>
              <w:rPr>
                <w:rFonts w:ascii="Arial"/>
                <w:sz w:val="21"/>
              </w:rPr>
            </w:pPr>
          </w:p>
        </w:tc>
        <w:tc>
          <w:tcPr>
            <w:tcW w:w="11042" w:type="dxa"/>
            <w:vAlign w:val="top"/>
          </w:tcPr>
          <w:p w14:paraId="184D02BD">
            <w:pPr>
              <w:pStyle w:val="5"/>
              <w:spacing w:before="217" w:line="262" w:lineRule="auto"/>
              <w:ind w:left="11" w:right="90"/>
            </w:pPr>
            <w:r>
              <w:t>4.以微动漫微电影微视频等形式积极开展人社政策法规宣传，引导鼓励全区创新宣传方式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方法。</w:t>
            </w:r>
          </w:p>
        </w:tc>
        <w:tc>
          <w:tcPr>
            <w:tcW w:w="1854" w:type="dxa"/>
            <w:vAlign w:val="top"/>
          </w:tcPr>
          <w:p w14:paraId="115CE235">
            <w:pPr>
              <w:pStyle w:val="5"/>
              <w:spacing w:before="208" w:line="277" w:lineRule="auto"/>
              <w:ind w:left="205" w:hanging="186"/>
            </w:pPr>
            <w:r>
              <w:rPr>
                <w:spacing w:val="-20"/>
              </w:rPr>
              <w:t>局机关各股室、</w:t>
            </w:r>
            <w:r>
              <w:rPr>
                <w:spacing w:val="3"/>
              </w:rPr>
              <w:t xml:space="preserve"> </w:t>
            </w:r>
            <w:r>
              <w:rPr>
                <w:spacing w:val="-14"/>
              </w:rPr>
              <w:t>局属各单位</w:t>
            </w:r>
          </w:p>
        </w:tc>
      </w:tr>
      <w:tr w14:paraId="7DC4D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1534" w:type="dxa"/>
            <w:vAlign w:val="top"/>
          </w:tcPr>
          <w:p w14:paraId="73FEFDD4">
            <w:pPr>
              <w:spacing w:line="366" w:lineRule="auto"/>
              <w:rPr>
                <w:rFonts w:ascii="Arial"/>
                <w:sz w:val="21"/>
              </w:rPr>
            </w:pPr>
          </w:p>
          <w:p w14:paraId="48C01A68">
            <w:pPr>
              <w:pStyle w:val="5"/>
              <w:spacing w:before="91" w:line="219" w:lineRule="auto"/>
              <w:ind w:left="125"/>
            </w:pPr>
            <w:r>
              <w:rPr>
                <w:spacing w:val="2"/>
              </w:rPr>
              <w:t>6月20日前</w:t>
            </w:r>
          </w:p>
        </w:tc>
        <w:tc>
          <w:tcPr>
            <w:tcW w:w="11042" w:type="dxa"/>
            <w:vAlign w:val="top"/>
          </w:tcPr>
          <w:p w14:paraId="5EED7CDB">
            <w:pPr>
              <w:pStyle w:val="5"/>
              <w:spacing w:before="85" w:line="239" w:lineRule="auto"/>
              <w:ind w:left="11" w:right="87"/>
              <w:jc w:val="both"/>
            </w:pPr>
            <w:r>
              <w:t>1.坚持“公开为常态、不公开为例外”,凡是能主动公开的政策法规一律主动公开，规范</w:t>
            </w:r>
            <w:r>
              <w:rPr>
                <w:spacing w:val="7"/>
              </w:rPr>
              <w:t xml:space="preserve">  </w:t>
            </w:r>
            <w:r>
              <w:t>建设人社政策法规文件库，及时对已失效、废止或修改的文件做好清理和更新，实现现行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有效的人社政策法规线上发布“应上尽上”。</w:t>
            </w:r>
          </w:p>
        </w:tc>
        <w:tc>
          <w:tcPr>
            <w:tcW w:w="1854" w:type="dxa"/>
            <w:vAlign w:val="top"/>
          </w:tcPr>
          <w:p w14:paraId="20F6EFDF">
            <w:pPr>
              <w:spacing w:line="366" w:lineRule="auto"/>
              <w:rPr>
                <w:rFonts w:ascii="Arial"/>
                <w:sz w:val="21"/>
              </w:rPr>
            </w:pPr>
          </w:p>
          <w:p w14:paraId="583B5D55">
            <w:pPr>
              <w:pStyle w:val="5"/>
              <w:spacing w:before="91" w:line="219" w:lineRule="auto"/>
              <w:jc w:val="right"/>
            </w:pPr>
            <w:r>
              <w:rPr>
                <w:spacing w:val="-21"/>
              </w:rPr>
              <w:t>办公室、法</w:t>
            </w:r>
            <w:r>
              <w:rPr>
                <w:spacing w:val="-20"/>
              </w:rPr>
              <w:t>治</w:t>
            </w:r>
            <w:r>
              <w:rPr>
                <w:spacing w:val="-15"/>
              </w:rPr>
              <w:t>股</w:t>
            </w:r>
          </w:p>
        </w:tc>
      </w:tr>
    </w:tbl>
    <w:p w14:paraId="45A32AEB">
      <w:pPr>
        <w:pStyle w:val="2"/>
      </w:pPr>
    </w:p>
    <w:p w14:paraId="63A724AD">
      <w:pPr>
        <w:sectPr>
          <w:footerReference r:id="rId5" w:type="default"/>
          <w:pgSz w:w="16840" w:h="11900"/>
          <w:pgMar w:top="1011" w:right="1165" w:bottom="1282" w:left="1234" w:header="0" w:footer="984" w:gutter="0"/>
          <w:cols w:space="720" w:num="1"/>
        </w:sectPr>
      </w:pPr>
    </w:p>
    <w:p w14:paraId="74F702E7">
      <w:pPr>
        <w:spacing w:line="35" w:lineRule="auto"/>
        <w:rPr>
          <w:rFonts w:ascii="Arial"/>
          <w:sz w:val="2"/>
        </w:rPr>
      </w:pPr>
    </w:p>
    <w:tbl>
      <w:tblPr>
        <w:tblStyle w:val="6"/>
        <w:tblW w:w="1443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4"/>
        <w:gridCol w:w="11042"/>
        <w:gridCol w:w="1857"/>
      </w:tblGrid>
      <w:tr w14:paraId="25CAB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1534" w:type="dxa"/>
            <w:vMerge w:val="restart"/>
            <w:tcBorders>
              <w:bottom w:val="nil"/>
            </w:tcBorders>
            <w:vAlign w:val="top"/>
          </w:tcPr>
          <w:p w14:paraId="01AC6524">
            <w:pPr>
              <w:rPr>
                <w:rFonts w:ascii="Arial"/>
                <w:sz w:val="21"/>
              </w:rPr>
            </w:pPr>
          </w:p>
        </w:tc>
        <w:tc>
          <w:tcPr>
            <w:tcW w:w="11042" w:type="dxa"/>
            <w:vAlign w:val="top"/>
          </w:tcPr>
          <w:p w14:paraId="3BC24B1D">
            <w:pPr>
              <w:pStyle w:val="5"/>
              <w:spacing w:before="73" w:line="236" w:lineRule="auto"/>
              <w:ind w:left="11" w:right="479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2.在政府网站、微信公众号开设宣传栏目，及时做好新出台法规政策的集中公开发布，综</w:t>
            </w:r>
            <w:r>
              <w:rPr>
                <w:spacing w:val="10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合运用“1+2+X”等多种形式，持续做好新出台人社政策法规的解</w:t>
            </w:r>
            <w:r>
              <w:rPr>
                <w:spacing w:val="-1"/>
                <w:sz w:val="27"/>
                <w:szCs w:val="27"/>
              </w:rPr>
              <w:t>读。</w:t>
            </w:r>
          </w:p>
        </w:tc>
        <w:tc>
          <w:tcPr>
            <w:tcW w:w="1857" w:type="dxa"/>
            <w:vAlign w:val="top"/>
          </w:tcPr>
          <w:p w14:paraId="2A8AFBAE">
            <w:pPr>
              <w:pStyle w:val="5"/>
              <w:spacing w:before="256" w:line="219" w:lineRule="auto"/>
              <w:ind w:left="519"/>
              <w:rPr>
                <w:sz w:val="27"/>
                <w:szCs w:val="27"/>
              </w:rPr>
            </w:pPr>
            <w:r>
              <w:rPr>
                <w:spacing w:val="4"/>
                <w:sz w:val="27"/>
                <w:szCs w:val="27"/>
              </w:rPr>
              <w:t>办公室</w:t>
            </w:r>
          </w:p>
        </w:tc>
      </w:tr>
      <w:tr w14:paraId="626AD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34" w:type="dxa"/>
            <w:vMerge w:val="continue"/>
            <w:tcBorders>
              <w:top w:val="nil"/>
            </w:tcBorders>
            <w:vAlign w:val="top"/>
          </w:tcPr>
          <w:p w14:paraId="40E4BA15">
            <w:pPr>
              <w:rPr>
                <w:rFonts w:ascii="Arial"/>
                <w:sz w:val="21"/>
              </w:rPr>
            </w:pPr>
          </w:p>
        </w:tc>
        <w:tc>
          <w:tcPr>
            <w:tcW w:w="11042" w:type="dxa"/>
            <w:vAlign w:val="top"/>
          </w:tcPr>
          <w:p w14:paraId="06186A52">
            <w:pPr>
              <w:pStyle w:val="5"/>
              <w:spacing w:before="160" w:line="256" w:lineRule="auto"/>
              <w:ind w:left="11" w:right="49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3.及时将宣讲活动安排、落实情况在政府网站公布；及时总结梳理上半年</w:t>
            </w:r>
            <w:r>
              <w:rPr>
                <w:spacing w:val="-1"/>
                <w:sz w:val="27"/>
                <w:szCs w:val="27"/>
              </w:rPr>
              <w:t>活动开展情况，</w:t>
            </w:r>
            <w:r>
              <w:rPr>
                <w:sz w:val="27"/>
                <w:szCs w:val="27"/>
              </w:rPr>
              <w:t xml:space="preserve"> 按要求向市局报送活动进展情况及统计表，适时进</w:t>
            </w:r>
            <w:r>
              <w:rPr>
                <w:spacing w:val="-1"/>
                <w:sz w:val="27"/>
                <w:szCs w:val="27"/>
              </w:rPr>
              <w:t>行全区通报。</w:t>
            </w:r>
          </w:p>
        </w:tc>
        <w:tc>
          <w:tcPr>
            <w:tcW w:w="1857" w:type="dxa"/>
            <w:vAlign w:val="top"/>
          </w:tcPr>
          <w:p w14:paraId="2812A1DB">
            <w:pPr>
              <w:pStyle w:val="5"/>
              <w:spacing w:before="160" w:line="256" w:lineRule="auto"/>
              <w:ind w:left="234" w:hanging="215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局机关各股室、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-13"/>
                <w:sz w:val="27"/>
                <w:szCs w:val="27"/>
              </w:rPr>
              <w:t>局属各单位</w:t>
            </w:r>
          </w:p>
        </w:tc>
      </w:tr>
      <w:tr w14:paraId="196607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534" w:type="dxa"/>
            <w:vAlign w:val="top"/>
          </w:tcPr>
          <w:p w14:paraId="73567EA5">
            <w:pPr>
              <w:spacing w:line="263" w:lineRule="auto"/>
              <w:rPr>
                <w:rFonts w:ascii="Arial"/>
                <w:sz w:val="21"/>
              </w:rPr>
            </w:pPr>
          </w:p>
          <w:p w14:paraId="245B0B96">
            <w:pPr>
              <w:pStyle w:val="5"/>
              <w:spacing w:before="88" w:line="219" w:lineRule="auto"/>
              <w:ind w:left="355"/>
              <w:rPr>
                <w:sz w:val="27"/>
                <w:szCs w:val="27"/>
              </w:rPr>
            </w:pPr>
            <w:r>
              <w:rPr>
                <w:spacing w:val="-13"/>
                <w:sz w:val="27"/>
                <w:szCs w:val="27"/>
              </w:rPr>
              <w:t>7—11月</w:t>
            </w:r>
          </w:p>
        </w:tc>
        <w:tc>
          <w:tcPr>
            <w:tcW w:w="11042" w:type="dxa"/>
            <w:vAlign w:val="top"/>
          </w:tcPr>
          <w:p w14:paraId="67542058">
            <w:pPr>
              <w:pStyle w:val="5"/>
              <w:spacing w:before="191" w:line="219" w:lineRule="auto"/>
              <w:ind w:left="1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1.以市人社局督办调研、下基层调研等为契机，对全区活动落实情</w:t>
            </w:r>
            <w:r>
              <w:rPr>
                <w:spacing w:val="-1"/>
                <w:sz w:val="27"/>
                <w:szCs w:val="27"/>
              </w:rPr>
              <w:t>况进行检查。</w:t>
            </w:r>
          </w:p>
          <w:p w14:paraId="4CC0961B">
            <w:pPr>
              <w:pStyle w:val="5"/>
              <w:spacing w:before="62" w:line="220" w:lineRule="auto"/>
              <w:ind w:left="11"/>
              <w:rPr>
                <w:sz w:val="27"/>
                <w:szCs w:val="27"/>
              </w:rPr>
            </w:pPr>
            <w:r>
              <w:rPr>
                <w:spacing w:val="-1"/>
                <w:sz w:val="27"/>
                <w:szCs w:val="27"/>
              </w:rPr>
              <w:t>2.结合工作实际，开展活动经验交流。</w:t>
            </w:r>
          </w:p>
        </w:tc>
        <w:tc>
          <w:tcPr>
            <w:tcW w:w="1857" w:type="dxa"/>
            <w:vAlign w:val="top"/>
          </w:tcPr>
          <w:p w14:paraId="0C2642A5">
            <w:pPr>
              <w:pStyle w:val="5"/>
              <w:spacing w:before="192" w:line="262" w:lineRule="auto"/>
              <w:ind w:left="108" w:hanging="89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法治股、相关股</w:t>
            </w:r>
            <w:r>
              <w:rPr>
                <w:sz w:val="27"/>
                <w:szCs w:val="27"/>
              </w:rPr>
              <w:t xml:space="preserve"> 室、相关单位</w:t>
            </w:r>
          </w:p>
        </w:tc>
      </w:tr>
      <w:tr w14:paraId="1B9F2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1534" w:type="dxa"/>
            <w:vAlign w:val="top"/>
          </w:tcPr>
          <w:p w14:paraId="6FDFE5BC">
            <w:pPr>
              <w:spacing w:line="384" w:lineRule="auto"/>
              <w:rPr>
                <w:rFonts w:ascii="Arial"/>
                <w:sz w:val="21"/>
              </w:rPr>
            </w:pPr>
          </w:p>
          <w:p w14:paraId="3807F636">
            <w:pPr>
              <w:pStyle w:val="5"/>
              <w:spacing w:before="87" w:line="219" w:lineRule="auto"/>
              <w:ind w:left="145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9月20日前</w:t>
            </w:r>
          </w:p>
        </w:tc>
        <w:tc>
          <w:tcPr>
            <w:tcW w:w="11042" w:type="dxa"/>
            <w:vAlign w:val="top"/>
          </w:tcPr>
          <w:p w14:paraId="21B433EA">
            <w:pPr>
              <w:pStyle w:val="5"/>
              <w:spacing w:before="302" w:line="219" w:lineRule="auto"/>
              <w:ind w:left="1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1.不定期抽查微信公众号的政策公开、政策解读及政策</w:t>
            </w:r>
            <w:r>
              <w:rPr>
                <w:spacing w:val="-1"/>
                <w:sz w:val="27"/>
                <w:szCs w:val="27"/>
              </w:rPr>
              <w:t>宣传等情况。</w:t>
            </w:r>
          </w:p>
          <w:p w14:paraId="36411ADB">
            <w:pPr>
              <w:pStyle w:val="5"/>
              <w:spacing w:before="71" w:line="219" w:lineRule="auto"/>
              <w:ind w:left="1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2.结合全区人社系统行风建设相关活动及调研工作安排等，对开展活动情</w:t>
            </w:r>
            <w:r>
              <w:rPr>
                <w:spacing w:val="-1"/>
                <w:sz w:val="27"/>
                <w:szCs w:val="27"/>
              </w:rPr>
              <w:t>况适时检查。</w:t>
            </w:r>
          </w:p>
        </w:tc>
        <w:tc>
          <w:tcPr>
            <w:tcW w:w="1857" w:type="dxa"/>
            <w:vAlign w:val="top"/>
          </w:tcPr>
          <w:p w14:paraId="1CD38106">
            <w:pPr>
              <w:pStyle w:val="5"/>
              <w:spacing w:before="104" w:line="219" w:lineRule="auto"/>
              <w:jc w:val="right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办公室、法治股</w:t>
            </w:r>
          </w:p>
          <w:p w14:paraId="7A260228">
            <w:pPr>
              <w:pStyle w:val="5"/>
              <w:spacing w:before="90" w:line="220" w:lineRule="auto"/>
              <w:jc w:val="right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、相关股室、相</w:t>
            </w:r>
          </w:p>
          <w:p w14:paraId="787A9B4B">
            <w:pPr>
              <w:pStyle w:val="5"/>
              <w:spacing w:before="47" w:line="215" w:lineRule="auto"/>
              <w:ind w:left="519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关单位</w:t>
            </w:r>
          </w:p>
        </w:tc>
      </w:tr>
      <w:tr w14:paraId="5E6F9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534" w:type="dxa"/>
            <w:vAlign w:val="top"/>
          </w:tcPr>
          <w:p w14:paraId="6126F3A6">
            <w:pPr>
              <w:spacing w:line="246" w:lineRule="auto"/>
              <w:rPr>
                <w:rFonts w:ascii="Arial"/>
                <w:sz w:val="21"/>
              </w:rPr>
            </w:pPr>
          </w:p>
          <w:p w14:paraId="707C4521">
            <w:pPr>
              <w:pStyle w:val="5"/>
              <w:spacing w:before="87" w:line="219" w:lineRule="auto"/>
              <w:ind w:left="85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10月20日前</w:t>
            </w:r>
          </w:p>
        </w:tc>
        <w:tc>
          <w:tcPr>
            <w:tcW w:w="11042" w:type="dxa"/>
            <w:vAlign w:val="top"/>
          </w:tcPr>
          <w:p w14:paraId="09C323FC">
            <w:pPr>
              <w:spacing w:line="244" w:lineRule="auto"/>
              <w:rPr>
                <w:rFonts w:ascii="Arial"/>
                <w:sz w:val="21"/>
              </w:rPr>
            </w:pPr>
          </w:p>
          <w:p w14:paraId="108CF72D">
            <w:pPr>
              <w:pStyle w:val="5"/>
              <w:spacing w:before="88" w:line="219" w:lineRule="auto"/>
              <w:ind w:left="1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检查“五进五促政策宣讲”活动完成情况，完成率应</w:t>
            </w:r>
            <w:r>
              <w:rPr>
                <w:spacing w:val="-1"/>
                <w:sz w:val="27"/>
                <w:szCs w:val="27"/>
              </w:rPr>
              <w:t>为100%。</w:t>
            </w:r>
          </w:p>
        </w:tc>
        <w:tc>
          <w:tcPr>
            <w:tcW w:w="1857" w:type="dxa"/>
            <w:vAlign w:val="top"/>
          </w:tcPr>
          <w:p w14:paraId="77BD8756">
            <w:pPr>
              <w:pStyle w:val="5"/>
              <w:spacing w:before="145" w:line="261" w:lineRule="auto"/>
              <w:ind w:left="108" w:hanging="89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法治股、相关股</w:t>
            </w:r>
            <w:r>
              <w:rPr>
                <w:sz w:val="27"/>
                <w:szCs w:val="27"/>
              </w:rPr>
              <w:t xml:space="preserve"> 室、相关单位</w:t>
            </w:r>
          </w:p>
        </w:tc>
      </w:tr>
      <w:tr w14:paraId="125A3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1534" w:type="dxa"/>
            <w:vAlign w:val="top"/>
          </w:tcPr>
          <w:p w14:paraId="69E1C5FE">
            <w:pPr>
              <w:spacing w:line="376" w:lineRule="auto"/>
              <w:rPr>
                <w:rFonts w:ascii="Arial"/>
                <w:sz w:val="21"/>
              </w:rPr>
            </w:pPr>
          </w:p>
          <w:p w14:paraId="561CEB4D">
            <w:pPr>
              <w:pStyle w:val="5"/>
              <w:spacing w:before="88" w:line="219" w:lineRule="auto"/>
              <w:ind w:left="85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11月20日前</w:t>
            </w:r>
          </w:p>
        </w:tc>
        <w:tc>
          <w:tcPr>
            <w:tcW w:w="11042" w:type="dxa"/>
            <w:vAlign w:val="top"/>
          </w:tcPr>
          <w:p w14:paraId="799E48EA">
            <w:pPr>
              <w:pStyle w:val="5"/>
              <w:spacing w:before="296" w:line="219" w:lineRule="auto"/>
              <w:ind w:left="1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1.督导开展“人社惠民政策进万家”宣讲活动，实</w:t>
            </w:r>
            <w:r>
              <w:rPr>
                <w:spacing w:val="-1"/>
                <w:sz w:val="27"/>
                <w:szCs w:val="27"/>
              </w:rPr>
              <w:t>现乡镇全覆盖。</w:t>
            </w:r>
          </w:p>
          <w:p w14:paraId="5137C215">
            <w:pPr>
              <w:pStyle w:val="5"/>
              <w:spacing w:before="67" w:line="219" w:lineRule="auto"/>
              <w:ind w:left="11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2.随机抽查部分单位开展“人社惠民政策进万家”宣讲活动</w:t>
            </w:r>
            <w:r>
              <w:rPr>
                <w:spacing w:val="-1"/>
                <w:sz w:val="27"/>
                <w:szCs w:val="27"/>
              </w:rPr>
              <w:t>的实施情况。</w:t>
            </w:r>
          </w:p>
        </w:tc>
        <w:tc>
          <w:tcPr>
            <w:tcW w:w="1857" w:type="dxa"/>
            <w:vAlign w:val="top"/>
          </w:tcPr>
          <w:p w14:paraId="7308792B">
            <w:pPr>
              <w:pStyle w:val="5"/>
              <w:spacing w:before="297" w:line="269" w:lineRule="auto"/>
              <w:ind w:left="108" w:hanging="89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法治股、相关股</w:t>
            </w:r>
            <w:r>
              <w:rPr>
                <w:sz w:val="27"/>
                <w:szCs w:val="27"/>
              </w:rPr>
              <w:t xml:space="preserve"> 室、相关单位</w:t>
            </w:r>
          </w:p>
        </w:tc>
      </w:tr>
      <w:tr w14:paraId="2A799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1534" w:type="dxa"/>
            <w:vAlign w:val="top"/>
          </w:tcPr>
          <w:p w14:paraId="378FFEC9">
            <w:pPr>
              <w:spacing w:line="308" w:lineRule="auto"/>
              <w:rPr>
                <w:rFonts w:ascii="Arial"/>
                <w:sz w:val="21"/>
              </w:rPr>
            </w:pPr>
          </w:p>
          <w:p w14:paraId="2870AFD9">
            <w:pPr>
              <w:pStyle w:val="5"/>
              <w:spacing w:before="88" w:line="219" w:lineRule="auto"/>
              <w:ind w:left="145"/>
              <w:rPr>
                <w:sz w:val="27"/>
                <w:szCs w:val="27"/>
              </w:rPr>
            </w:pPr>
            <w:r>
              <w:rPr>
                <w:spacing w:val="3"/>
                <w:sz w:val="27"/>
                <w:szCs w:val="27"/>
              </w:rPr>
              <w:t>12月5日前</w:t>
            </w:r>
          </w:p>
        </w:tc>
        <w:tc>
          <w:tcPr>
            <w:tcW w:w="11042" w:type="dxa"/>
            <w:vAlign w:val="top"/>
          </w:tcPr>
          <w:p w14:paraId="0810062C">
            <w:pPr>
              <w:pStyle w:val="5"/>
              <w:spacing w:before="216" w:line="274" w:lineRule="auto"/>
              <w:ind w:left="11" w:right="345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通过12345咨询电话接听记录、行政复议、行政应诉、仲裁案件、信访诉求等统计分析，结合网上调查评价等方式，对政策宣传、落实</w:t>
            </w:r>
            <w:r>
              <w:rPr>
                <w:spacing w:val="-1"/>
                <w:sz w:val="27"/>
                <w:szCs w:val="27"/>
              </w:rPr>
              <w:t>效果进行检验。</w:t>
            </w:r>
          </w:p>
        </w:tc>
        <w:tc>
          <w:tcPr>
            <w:tcW w:w="1857" w:type="dxa"/>
            <w:vAlign w:val="top"/>
          </w:tcPr>
          <w:p w14:paraId="26B87E00">
            <w:pPr>
              <w:pStyle w:val="5"/>
              <w:spacing w:before="216" w:line="276" w:lineRule="auto"/>
              <w:ind w:left="377" w:hanging="358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办公室、法治股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-1"/>
                <w:sz w:val="27"/>
                <w:szCs w:val="27"/>
              </w:rPr>
              <w:t>、仲裁院</w:t>
            </w:r>
          </w:p>
        </w:tc>
      </w:tr>
      <w:tr w14:paraId="54B44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1534" w:type="dxa"/>
            <w:vAlign w:val="top"/>
          </w:tcPr>
          <w:p w14:paraId="7F7B7E5C">
            <w:pPr>
              <w:spacing w:line="289" w:lineRule="auto"/>
              <w:rPr>
                <w:rFonts w:ascii="Arial"/>
                <w:sz w:val="21"/>
              </w:rPr>
            </w:pPr>
          </w:p>
          <w:p w14:paraId="0E61D2C0">
            <w:pPr>
              <w:pStyle w:val="5"/>
              <w:spacing w:before="88" w:line="219" w:lineRule="auto"/>
              <w:ind w:left="85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12月15日前</w:t>
            </w:r>
          </w:p>
        </w:tc>
        <w:tc>
          <w:tcPr>
            <w:tcW w:w="11042" w:type="dxa"/>
            <w:vAlign w:val="top"/>
          </w:tcPr>
          <w:p w14:paraId="620FAA43">
            <w:pPr>
              <w:pStyle w:val="5"/>
              <w:spacing w:before="187" w:line="274" w:lineRule="auto"/>
              <w:ind w:left="11" w:right="50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对2026年“人社惠民政策进万家”活动进行全面总结，按要求报</w:t>
            </w:r>
            <w:r>
              <w:rPr>
                <w:spacing w:val="-1"/>
                <w:sz w:val="27"/>
                <w:szCs w:val="27"/>
              </w:rPr>
              <w:t>送总结报告、统计表和</w:t>
            </w:r>
            <w:r>
              <w:rPr>
                <w:rFonts w:hint="eastAsia"/>
                <w:spacing w:val="-1"/>
                <w:sz w:val="27"/>
                <w:szCs w:val="27"/>
                <w:lang w:val="en-US" w:eastAsia="zh-CN"/>
              </w:rPr>
              <w:t>活</w:t>
            </w:r>
            <w:r>
              <w:rPr>
                <w:sz w:val="27"/>
                <w:szCs w:val="27"/>
              </w:rPr>
              <w:t>动中制作的图文(表)、动漫、微视频等各</w:t>
            </w:r>
            <w:r>
              <w:rPr>
                <w:spacing w:val="-1"/>
                <w:sz w:val="27"/>
                <w:szCs w:val="27"/>
              </w:rPr>
              <w:t>类宣传资料。</w:t>
            </w:r>
          </w:p>
        </w:tc>
        <w:tc>
          <w:tcPr>
            <w:tcW w:w="1857" w:type="dxa"/>
            <w:vAlign w:val="top"/>
          </w:tcPr>
          <w:p w14:paraId="48368DA6">
            <w:pPr>
              <w:pStyle w:val="5"/>
              <w:spacing w:before="187" w:line="274" w:lineRule="auto"/>
              <w:ind w:left="234" w:hanging="215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局机关各股室、</w:t>
            </w:r>
            <w:r>
              <w:rPr>
                <w:sz w:val="27"/>
                <w:szCs w:val="27"/>
              </w:rPr>
              <w:t xml:space="preserve"> </w:t>
            </w:r>
            <w:r>
              <w:rPr>
                <w:spacing w:val="-13"/>
                <w:sz w:val="27"/>
                <w:szCs w:val="27"/>
              </w:rPr>
              <w:t>局属各单位</w:t>
            </w:r>
          </w:p>
        </w:tc>
      </w:tr>
      <w:tr w14:paraId="1AD2F3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1534" w:type="dxa"/>
            <w:vAlign w:val="top"/>
          </w:tcPr>
          <w:p w14:paraId="4111D819">
            <w:pPr>
              <w:spacing w:line="360" w:lineRule="auto"/>
              <w:rPr>
                <w:rFonts w:ascii="Arial"/>
                <w:sz w:val="21"/>
              </w:rPr>
            </w:pPr>
          </w:p>
          <w:p w14:paraId="78CF9E5D">
            <w:pPr>
              <w:pStyle w:val="5"/>
              <w:spacing w:before="88" w:line="219" w:lineRule="auto"/>
              <w:ind w:left="85"/>
              <w:rPr>
                <w:sz w:val="27"/>
                <w:szCs w:val="27"/>
              </w:rPr>
            </w:pPr>
            <w:r>
              <w:rPr>
                <w:spacing w:val="1"/>
                <w:sz w:val="27"/>
                <w:szCs w:val="27"/>
              </w:rPr>
              <w:t>12月20日前</w:t>
            </w:r>
          </w:p>
        </w:tc>
        <w:tc>
          <w:tcPr>
            <w:tcW w:w="11042" w:type="dxa"/>
            <w:vAlign w:val="top"/>
          </w:tcPr>
          <w:p w14:paraId="7026C8B7">
            <w:pPr>
              <w:pStyle w:val="5"/>
              <w:spacing w:before="217" w:line="269" w:lineRule="auto"/>
              <w:ind w:left="11" w:right="47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收集、梳理相关资料，报送总结报告及统计表，结合《2026年惠民惠企政策实地宣传工作计划》,对政策实地宣传和落实情况进行检查，并适时通</w:t>
            </w:r>
            <w:r>
              <w:rPr>
                <w:spacing w:val="-1"/>
                <w:sz w:val="27"/>
                <w:szCs w:val="27"/>
              </w:rPr>
              <w:t>报。</w:t>
            </w:r>
          </w:p>
        </w:tc>
        <w:tc>
          <w:tcPr>
            <w:tcW w:w="1857" w:type="dxa"/>
            <w:vAlign w:val="top"/>
          </w:tcPr>
          <w:p w14:paraId="4E430431">
            <w:pPr>
              <w:spacing w:line="290" w:lineRule="auto"/>
              <w:rPr>
                <w:rFonts w:ascii="Arial"/>
                <w:sz w:val="21"/>
              </w:rPr>
            </w:pPr>
          </w:p>
          <w:p w14:paraId="6556520B">
            <w:pPr>
              <w:pStyle w:val="5"/>
              <w:spacing w:before="88" w:line="219" w:lineRule="auto"/>
              <w:jc w:val="right"/>
              <w:rPr>
                <w:sz w:val="27"/>
                <w:szCs w:val="27"/>
              </w:rPr>
            </w:pPr>
            <w:r>
              <w:rPr>
                <w:spacing w:val="-9"/>
                <w:sz w:val="27"/>
                <w:szCs w:val="27"/>
              </w:rPr>
              <w:t>法治股、办公室</w:t>
            </w:r>
          </w:p>
        </w:tc>
      </w:tr>
    </w:tbl>
    <w:p w14:paraId="44A6F003">
      <w:pPr>
        <w:pStyle w:val="2"/>
      </w:pPr>
    </w:p>
    <w:p w14:paraId="5E9D5D86">
      <w:pPr>
        <w:sectPr>
          <w:footerReference r:id="rId6" w:type="default"/>
          <w:pgSz w:w="16840" w:h="11900"/>
          <w:pgMar w:top="1011" w:right="1161" w:bottom="1280" w:left="1234" w:header="0" w:footer="929" w:gutter="0"/>
          <w:cols w:space="720" w:num="1"/>
        </w:sectPr>
      </w:pPr>
    </w:p>
    <w:p w14:paraId="57FE0123">
      <w:pPr>
        <w:spacing w:line="35" w:lineRule="auto"/>
        <w:rPr>
          <w:rFonts w:ascii="Arial"/>
          <w:sz w:val="2"/>
        </w:rPr>
      </w:pPr>
    </w:p>
    <w:tbl>
      <w:tblPr>
        <w:tblStyle w:val="6"/>
        <w:tblW w:w="144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4"/>
        <w:gridCol w:w="11042"/>
        <w:gridCol w:w="1864"/>
      </w:tblGrid>
      <w:tr w14:paraId="77AA3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0" w:hRule="atLeast"/>
        </w:trPr>
        <w:tc>
          <w:tcPr>
            <w:tcW w:w="1534" w:type="dxa"/>
            <w:vAlign w:val="top"/>
          </w:tcPr>
          <w:p w14:paraId="7759AF80">
            <w:pPr>
              <w:spacing w:line="289" w:lineRule="auto"/>
              <w:rPr>
                <w:rFonts w:ascii="Arial"/>
                <w:sz w:val="21"/>
              </w:rPr>
            </w:pPr>
          </w:p>
          <w:p w14:paraId="203DAAD9">
            <w:pPr>
              <w:spacing w:line="289" w:lineRule="auto"/>
              <w:rPr>
                <w:rFonts w:ascii="Arial"/>
                <w:sz w:val="21"/>
              </w:rPr>
            </w:pPr>
          </w:p>
          <w:p w14:paraId="0ABAB9A1">
            <w:pPr>
              <w:spacing w:line="290" w:lineRule="auto"/>
              <w:rPr>
                <w:rFonts w:ascii="Arial"/>
                <w:sz w:val="21"/>
              </w:rPr>
            </w:pPr>
          </w:p>
          <w:p w14:paraId="46AD6F2A">
            <w:pPr>
              <w:spacing w:line="290" w:lineRule="auto"/>
              <w:rPr>
                <w:rFonts w:ascii="Arial"/>
                <w:sz w:val="21"/>
              </w:rPr>
            </w:pPr>
          </w:p>
          <w:p w14:paraId="718E1458">
            <w:pPr>
              <w:pStyle w:val="5"/>
              <w:spacing w:before="91" w:line="319" w:lineRule="auto"/>
              <w:ind w:left="474" w:right="55" w:hanging="419"/>
            </w:pPr>
            <w:r>
              <w:rPr>
                <w:spacing w:val="2"/>
              </w:rPr>
              <w:t xml:space="preserve">贯穿活动全 </w:t>
            </w:r>
            <w:r>
              <w:rPr>
                <w:spacing w:val="4"/>
              </w:rPr>
              <w:t>过程</w:t>
            </w:r>
          </w:p>
        </w:tc>
        <w:tc>
          <w:tcPr>
            <w:tcW w:w="11042" w:type="dxa"/>
            <w:vAlign w:val="top"/>
          </w:tcPr>
          <w:p w14:paraId="70C6ABBA">
            <w:pPr>
              <w:pStyle w:val="5"/>
              <w:spacing w:before="45" w:line="251" w:lineRule="auto"/>
              <w:ind w:left="11" w:right="85"/>
            </w:pPr>
            <w:r>
              <w:t>1.各服务大厅和服务窗口张贴政策宣传海报，播放政策宣传视频，发放宣传手册，窗口工</w:t>
            </w:r>
            <w:r>
              <w:rPr>
                <w:spacing w:val="14"/>
              </w:rPr>
              <w:t xml:space="preserve"> </w:t>
            </w:r>
            <w:r>
              <w:t>作人员掌握新出台政策，做好政策宣传解读和经办落实。</w:t>
            </w:r>
          </w:p>
          <w:p w14:paraId="0C774C6E">
            <w:pPr>
              <w:pStyle w:val="5"/>
              <w:spacing w:before="59" w:line="219" w:lineRule="auto"/>
              <w:ind w:left="11"/>
            </w:pPr>
            <w:r>
              <w:t>2.及时报送各类工作动态、宣讲活动、经验做法等信息。</w:t>
            </w:r>
          </w:p>
          <w:p w14:paraId="1185FB38">
            <w:pPr>
              <w:pStyle w:val="5"/>
              <w:spacing w:before="56" w:line="250" w:lineRule="auto"/>
              <w:ind w:left="11" w:right="89"/>
            </w:pPr>
            <w:r>
              <w:t>3.充分利用门户网站、报纸、电视、微信公众号等媒体进行宣传报道，广泛接受社会各界</w:t>
            </w:r>
            <w:bookmarkStart w:id="0" w:name="_GoBack"/>
            <w:bookmarkEnd w:id="0"/>
            <w:r>
              <w:rPr>
                <w:spacing w:val="-1"/>
              </w:rPr>
              <w:t>监督。</w:t>
            </w:r>
          </w:p>
          <w:p w14:paraId="7F49C161">
            <w:pPr>
              <w:pStyle w:val="5"/>
              <w:spacing w:before="53" w:line="248" w:lineRule="auto"/>
              <w:ind w:left="11" w:right="79"/>
            </w:pPr>
            <w:r>
              <w:rPr>
                <w:spacing w:val="1"/>
              </w:rPr>
              <w:t>4.创新宣传工作方式方法，多采用易传播的</w:t>
            </w:r>
            <w:r>
              <w:t>微镜头、短视频、微漫画，多运用启迪心智的 金句、直抵人心的暖语、群众喜闻乐见的方式，把人社政策讲得有温度、有深度、有质感</w:t>
            </w:r>
          </w:p>
          <w:p w14:paraId="3D7099F7">
            <w:pPr>
              <w:pStyle w:val="5"/>
              <w:spacing w:before="197" w:line="177" w:lineRule="auto"/>
              <w:ind w:left="11"/>
              <w:rPr>
                <w:sz w:val="15"/>
                <w:szCs w:val="15"/>
              </w:rPr>
            </w:pPr>
            <w:r>
              <w:rPr>
                <w:color w:val="504040"/>
                <w:sz w:val="15"/>
                <w:szCs w:val="15"/>
              </w:rPr>
              <w:t>o</w:t>
            </w:r>
          </w:p>
        </w:tc>
        <w:tc>
          <w:tcPr>
            <w:tcW w:w="1864" w:type="dxa"/>
            <w:vAlign w:val="top"/>
          </w:tcPr>
          <w:p w14:paraId="145A2100">
            <w:pPr>
              <w:spacing w:line="289" w:lineRule="auto"/>
              <w:rPr>
                <w:rFonts w:ascii="Arial"/>
                <w:sz w:val="21"/>
              </w:rPr>
            </w:pPr>
          </w:p>
          <w:p w14:paraId="159E4499">
            <w:pPr>
              <w:spacing w:line="289" w:lineRule="auto"/>
              <w:rPr>
                <w:rFonts w:ascii="Arial"/>
                <w:sz w:val="21"/>
              </w:rPr>
            </w:pPr>
          </w:p>
          <w:p w14:paraId="70070838">
            <w:pPr>
              <w:spacing w:line="289" w:lineRule="auto"/>
              <w:rPr>
                <w:rFonts w:ascii="Arial"/>
                <w:sz w:val="21"/>
              </w:rPr>
            </w:pPr>
          </w:p>
          <w:p w14:paraId="49FBE21B">
            <w:pPr>
              <w:spacing w:line="289" w:lineRule="auto"/>
              <w:rPr>
                <w:rFonts w:ascii="Arial"/>
                <w:sz w:val="21"/>
              </w:rPr>
            </w:pPr>
          </w:p>
          <w:p w14:paraId="4EFD3E5C">
            <w:pPr>
              <w:pStyle w:val="5"/>
              <w:spacing w:before="91" w:line="281" w:lineRule="auto"/>
              <w:ind w:left="214" w:hanging="195"/>
            </w:pPr>
            <w:r>
              <w:rPr>
                <w:spacing w:val="-18"/>
              </w:rPr>
              <w:t>局机关各股室、</w:t>
            </w:r>
            <w:r>
              <w:t xml:space="preserve"> </w:t>
            </w:r>
            <w:r>
              <w:rPr>
                <w:spacing w:val="-14"/>
              </w:rPr>
              <w:t>局属各单位</w:t>
            </w:r>
          </w:p>
        </w:tc>
      </w:tr>
    </w:tbl>
    <w:p w14:paraId="7FA0C287">
      <w:pPr>
        <w:sectPr>
          <w:footerReference r:id="rId7" w:type="default"/>
          <w:pgSz w:w="16840" w:h="11900"/>
          <w:pgMar w:top="1011" w:right="1154" w:bottom="1352" w:left="1234" w:header="0" w:footer="820" w:gutter="0"/>
          <w:cols w:space="720" w:num="1"/>
        </w:sectPr>
      </w:pPr>
    </w:p>
    <w:p w14:paraId="27B4031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DAFEA">
    <w:pPr>
      <w:spacing w:before="1" w:line="171" w:lineRule="auto"/>
      <w:ind w:left="13165"/>
      <w:rPr>
        <w:rFonts w:ascii="Times New Roman" w:hAnsi="Times New Roman" w:eastAsia="Times New Roman" w:cs="Times New Roman"/>
        <w:sz w:val="31"/>
        <w:szCs w:val="31"/>
      </w:rPr>
    </w:pPr>
    <w:r>
      <w:rPr>
        <w:rFonts w:ascii="宋体" w:hAnsi="宋体" w:eastAsia="宋体" w:cs="宋体"/>
        <w:spacing w:val="-7"/>
        <w:sz w:val="31"/>
        <w:szCs w:val="31"/>
      </w:rPr>
      <w:t>—</w:t>
    </w:r>
    <w:r>
      <w:rPr>
        <w:rFonts w:ascii="宋体" w:hAnsi="宋体" w:eastAsia="宋体" w:cs="宋体"/>
        <w:spacing w:val="-34"/>
        <w:sz w:val="31"/>
        <w:szCs w:val="31"/>
      </w:rPr>
      <w:t xml:space="preserve"> </w:t>
    </w:r>
    <w:r>
      <w:rPr>
        <w:rFonts w:ascii="Times New Roman" w:hAnsi="Times New Roman" w:eastAsia="Times New Roman" w:cs="Times New Roman"/>
        <w:spacing w:val="-7"/>
        <w:sz w:val="31"/>
        <w:szCs w:val="31"/>
      </w:rPr>
      <w:t>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CB278">
    <w:pPr>
      <w:spacing w:line="175" w:lineRule="auto"/>
      <w:ind w:left="344"/>
      <w:rPr>
        <w:rFonts w:ascii="Times New Roman" w:hAnsi="Times New Roman" w:eastAsia="Times New Roman" w:cs="Times New Roman"/>
        <w:sz w:val="36"/>
        <w:szCs w:val="36"/>
      </w:rPr>
    </w:pPr>
    <w:r>
      <w:rPr>
        <w:rFonts w:ascii="宋体" w:hAnsi="宋体" w:eastAsia="宋体" w:cs="宋体"/>
        <w:spacing w:val="-16"/>
        <w:w w:val="92"/>
        <w:sz w:val="36"/>
        <w:szCs w:val="36"/>
      </w:rPr>
      <w:t>—</w:t>
    </w:r>
    <w:r>
      <w:rPr>
        <w:rFonts w:ascii="宋体" w:hAnsi="宋体" w:eastAsia="宋体" w:cs="宋体"/>
        <w:spacing w:val="-30"/>
        <w:sz w:val="36"/>
        <w:szCs w:val="36"/>
      </w:rPr>
      <w:t xml:space="preserve"> </w:t>
    </w:r>
    <w:r>
      <w:rPr>
        <w:rFonts w:ascii="Times New Roman" w:hAnsi="Times New Roman" w:eastAsia="Times New Roman" w:cs="Times New Roman"/>
        <w:spacing w:val="-16"/>
        <w:w w:val="92"/>
        <w:sz w:val="36"/>
        <w:szCs w:val="36"/>
      </w:rPr>
      <w:t>8—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B9BCA">
    <w:pPr>
      <w:spacing w:line="235" w:lineRule="auto"/>
      <w:ind w:left="13165"/>
      <w:rPr>
        <w:rFonts w:ascii="宋体" w:hAnsi="宋体" w:eastAsia="宋体" w:cs="宋体"/>
        <w:sz w:val="41"/>
        <w:szCs w:val="41"/>
      </w:rPr>
    </w:pPr>
    <w:r>
      <w:rPr>
        <w:rFonts w:ascii="宋体" w:hAnsi="宋体" w:eastAsia="宋体" w:cs="宋体"/>
        <w:spacing w:val="-5"/>
        <w:sz w:val="41"/>
        <w:szCs w:val="41"/>
      </w:rPr>
      <w:t>—9—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B6BF6"/>
    <w:rsid w:val="678A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1421</Words>
  <Characters>1473</Characters>
  <Lines>0</Lines>
  <Paragraphs>0</Paragraphs>
  <TotalTime>2</TotalTime>
  <ScaleCrop>false</ScaleCrop>
  <LinksUpToDate>false</LinksUpToDate>
  <CharactersWithSpaces>1502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2026-04-21T09:07:00Z</dcterms:created>
  <dc:creator>k</dc:creator>
  <cp:lastModifiedBy>汐尹酱</cp:lastModifiedBy>
  <dcterms:modified xsi:type="dcterms:W3CDTF">2026-04-22T00:51:06Z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eyJoZGlkIjoiYTdhZTdlMGNhNjJlM2UxMzcxZjJjYjMxZDVmOGI4NzIiLCJ1c2VySWQiOiI0NTE1MzU4NzcifQ==</vt:lpwstr>
  </property>
  <property fmtid="{D5CDD505-2E9C-101B-9397-08002B2CF9AE}" pid="4" name="ICV">
    <vt:lpwstr>6E5D4D792531436D8E9F374DA3AE1844_12</vt:lpwstr>
  </property>
</Properties>
</file>