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CAE09">
      <w:pPr>
        <w:spacing w:line="610" w:lineRule="exact"/>
        <w:jc w:val="center"/>
        <w:rPr>
          <w:rFonts w:hint="default" w:ascii="新宋体" w:hAnsi="新宋体" w:eastAsia="新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新宋体" w:hAnsi="新宋体" w:eastAsia="新宋体"/>
          <w:b/>
          <w:color w:val="auto"/>
          <w:sz w:val="44"/>
          <w:szCs w:val="44"/>
        </w:rPr>
        <w:t>曾</w:t>
      </w:r>
      <w:r>
        <w:rPr>
          <w:rFonts w:ascii="新宋体" w:hAnsi="新宋体" w:eastAsia="新宋体"/>
          <w:b/>
          <w:color w:val="auto"/>
          <w:sz w:val="44"/>
          <w:szCs w:val="44"/>
        </w:rPr>
        <w:t>都</w:t>
      </w:r>
      <w:r>
        <w:rPr>
          <w:rFonts w:hint="eastAsia" w:ascii="新宋体" w:hAnsi="新宋体" w:eastAsia="新宋体"/>
          <w:b/>
          <w:color w:val="auto"/>
          <w:sz w:val="44"/>
          <w:szCs w:val="44"/>
        </w:rPr>
        <w:t>区</w:t>
      </w:r>
      <w:r>
        <w:rPr>
          <w:rFonts w:ascii="新宋体" w:hAnsi="新宋体" w:eastAsia="新宋体"/>
          <w:b/>
          <w:color w:val="auto"/>
          <w:sz w:val="44"/>
          <w:szCs w:val="44"/>
        </w:rPr>
        <w:t>民政局</w:t>
      </w:r>
      <w:r>
        <w:rPr>
          <w:rFonts w:hint="eastAsia" w:ascii="新宋体" w:hAnsi="新宋体" w:eastAsia="新宋体"/>
          <w:b/>
          <w:color w:val="auto"/>
          <w:sz w:val="44"/>
          <w:szCs w:val="44"/>
        </w:rPr>
        <w:t>202</w:t>
      </w:r>
      <w:r>
        <w:rPr>
          <w:rFonts w:hint="eastAsia" w:ascii="新宋体" w:hAnsi="新宋体" w:eastAsia="新宋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新宋体" w:hAnsi="新宋体" w:eastAsia="新宋体"/>
          <w:b/>
          <w:color w:val="auto"/>
          <w:sz w:val="44"/>
          <w:szCs w:val="44"/>
        </w:rPr>
        <w:t>年</w:t>
      </w:r>
      <w:r>
        <w:rPr>
          <w:rFonts w:ascii="新宋体" w:hAnsi="新宋体" w:eastAsia="新宋体"/>
          <w:b/>
          <w:color w:val="auto"/>
          <w:sz w:val="44"/>
          <w:szCs w:val="44"/>
        </w:rPr>
        <w:t>法治</w:t>
      </w:r>
      <w:r>
        <w:rPr>
          <w:rFonts w:hint="eastAsia" w:ascii="新宋体" w:hAnsi="新宋体" w:eastAsia="新宋体"/>
          <w:b/>
          <w:color w:val="auto"/>
          <w:sz w:val="44"/>
          <w:szCs w:val="44"/>
          <w:lang w:val="en-US" w:eastAsia="zh-CN"/>
        </w:rPr>
        <w:t>政府</w:t>
      </w:r>
      <w:r>
        <w:rPr>
          <w:rFonts w:ascii="新宋体" w:hAnsi="新宋体" w:eastAsia="新宋体"/>
          <w:b/>
          <w:color w:val="auto"/>
          <w:sz w:val="44"/>
          <w:szCs w:val="44"/>
        </w:rPr>
        <w:t>建设</w:t>
      </w:r>
      <w:r>
        <w:rPr>
          <w:rFonts w:hint="eastAsia" w:ascii="新宋体" w:hAnsi="新宋体" w:eastAsia="新宋体"/>
          <w:b/>
          <w:color w:val="auto"/>
          <w:sz w:val="44"/>
          <w:szCs w:val="44"/>
          <w:lang w:val="en-US" w:eastAsia="zh-CN"/>
        </w:rPr>
        <w:t>年度报告</w:t>
      </w:r>
    </w:p>
    <w:p w14:paraId="08CB8E37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CB040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2022是党的二十大及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省第十二次党代会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召开之年，是实施“十四五”规划关键之年。</w:t>
      </w:r>
      <w:r>
        <w:rPr>
          <w:rFonts w:hint="eastAsia" w:ascii="仿宋" w:hAnsi="仿宋" w:eastAsia="仿宋" w:cs="仿宋"/>
          <w:sz w:val="32"/>
          <w:szCs w:val="32"/>
        </w:rPr>
        <w:t>全区民政系统在区委、区政府的正确领导下，在区政府法制办公室的支持指导下，全面贯彻党的十九大和十九届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历次全会</w:t>
      </w:r>
      <w:r>
        <w:rPr>
          <w:rFonts w:hint="eastAsia" w:ascii="仿宋" w:hAnsi="仿宋" w:eastAsia="仿宋" w:cs="仿宋"/>
          <w:sz w:val="32"/>
          <w:szCs w:val="32"/>
        </w:rPr>
        <w:t>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全面落实市第五次党代会和</w:t>
      </w:r>
      <w:r>
        <w:rPr>
          <w:rFonts w:hint="eastAsia" w:ascii="仿宋" w:hAnsi="仿宋" w:eastAsia="仿宋" w:cs="仿宋"/>
          <w:sz w:val="32"/>
          <w:szCs w:val="32"/>
        </w:rPr>
        <w:t>区第三次党代会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精神，以法治民政建设</w:t>
      </w:r>
      <w:r>
        <w:rPr>
          <w:rFonts w:hint="eastAsia" w:ascii="仿宋" w:hAnsi="仿宋" w:eastAsia="仿宋" w:cs="仿宋"/>
          <w:sz w:val="32"/>
          <w:szCs w:val="32"/>
        </w:rPr>
        <w:t>为主线，强化措施,开拓创新，狠抓落实，依法行政各项工作取得新进展。现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区委全面依法治区委员会2022年工作要点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positio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position w:val="0"/>
          <w:sz w:val="32"/>
          <w:szCs w:val="32"/>
        </w:rPr>
        <w:t>年度履行推进法治建设第一责任人职责单</w:t>
      </w:r>
      <w:r>
        <w:rPr>
          <w:rFonts w:hint="eastAsia" w:ascii="仿宋" w:hAnsi="仿宋" w:eastAsia="仿宋" w:cs="仿宋"/>
          <w:sz w:val="32"/>
          <w:szCs w:val="32"/>
        </w:rPr>
        <w:t>》，将我局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年法治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建设情况汇报如下：</w:t>
      </w:r>
    </w:p>
    <w:p w14:paraId="16FFD8D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一、主要举措和成效</w:t>
      </w:r>
    </w:p>
    <w:p w14:paraId="26E31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）牢固树立政治意识，认真落实区委区政府重大决策部署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</w:p>
    <w:p w14:paraId="7A710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强化理论武装，提高政治站位。把学习贯彻习近平新时代中国特色社会主义思想作为首要政治任务，制定党建工作要点和党建工作责任清单，党组集体责任清单21条，局属各支部责任清单20条，把主体责任压紧压实，不留缝隙。局党组运用“第一种形态”2次，实施对象5人。</w:t>
      </w:r>
    </w:p>
    <w:p w14:paraId="14141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加强廉政教育，强化纪律作风。推进清廉机关建设，召开清廉机关部署会，印发清廉机关建设实施方案及重点任务清单，开展党风廉政宣传教育月活动，用好用活红色廉政教育基地，组织开展党组书记讲廉政党课活动。丰富“主题党日”形式，开展廉政十分钟，观看廉政教育视频，开展支部书记讲党课活动、科室负责人谈认识、一般干部谈体会活动，提高“主题党日”活动效果。召开组织生活会，开展批评与自我批评；支部书记与党员们谈心谈话，掌握支部党员政治思想动态。</w:t>
      </w:r>
    </w:p>
    <w:p w14:paraId="0173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及时办理人大意见建议。我局共交办人大建议7件（主办5件，会办2件）。对此，我高度重视，积极行动，把办理人大代表建议作为推动民政事业发展的一件大事来抓，做到办前、办中、办后（通过“回头看”）与代表“三联系”，确保每件建议办理都落到实处。</w:t>
      </w:r>
    </w:p>
    <w:p w14:paraId="4F47F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加强宣传，提高认识，保障依法行政工作</w:t>
      </w:r>
    </w:p>
    <w:p w14:paraId="48581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深入开展“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五”普法教育工作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深入开展“法律六进”及法治宣传日、宣传周、宣传月等形式多样的普法主题教育。</w:t>
      </w:r>
    </w:p>
    <w:p w14:paraId="21C3F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组织局机关全体干部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学法用法。一是</w:t>
      </w:r>
      <w:r>
        <w:rPr>
          <w:rFonts w:hint="eastAsia" w:ascii="仿宋" w:hAnsi="仿宋" w:eastAsia="仿宋" w:cs="仿宋"/>
          <w:sz w:val="32"/>
          <w:szCs w:val="32"/>
        </w:rPr>
        <w:t>深入学习《养老机构设立许可办法》、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民法典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>《中华人民共和国婚姻法》、《社会团体登记管理条例》和《民办非企业单位登记管理暂行条例》等相关法律法规，充分发挥法治的引导、规范、促进和保障作用。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二是积极组织领导干部在网上进行学法用法学习，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不断提高领导干部宪法法律意识和法治素养。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领导干部学法用法考试通过率100%。</w:t>
      </w:r>
    </w:p>
    <w:p w14:paraId="628FB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2022年“宪法宣传周”暨法治建设宣传月系列活动。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4日是第八个国家宪法日，为持续推动宪法学习宣传和贯彻实施。12月3日，在支部主题党日学习上组织“三个一”活动。二是推进基层治理。突出宣传宪法关于公民基本权利和义务的规定，推进居民委员会自治、法治、德治“三治融合”基层依法治理。三是开展法律服务。发挥社区法律顾问、下沉社区党员的作用，在社区、物业搭建的微邻里、微信群等线上平台开展宪法等宣传。</w:t>
      </w:r>
    </w:p>
    <w:p w14:paraId="6471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积极开展法治单位创建工作情况。在区法治办的指导下，积极报送我局</w:t>
      </w:r>
      <w:r>
        <w:rPr>
          <w:rFonts w:hint="eastAsia" w:ascii="仿宋" w:hAnsi="仿宋" w:eastAsia="仿宋" w:cs="仿宋"/>
          <w:sz w:val="32"/>
          <w:szCs w:val="32"/>
        </w:rPr>
        <w:t>党政主要负责人履行法治建设第一责任人职责情况报告，带头尊崇法治、厉行法治、依法办事。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抓好年底法治建设考核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BE7F86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建立健全法律顾问制度。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聘请湖北神农律师事务所朱宏斌律师为法律顾问，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依法制定规范性文件,全面推进党务政务公开。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</w:p>
    <w:p w14:paraId="50226E1D"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完善规范性文件制定程序。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局规范性文件按工作职责，由相关业务股室（单位）具体负责起草；必要时，拟定稿委托法律顾问审查。根据《中国共产党党内法规和规范性文件备案规定》，应当备案的党内规范性文件，报送区委备案。做到规范报备、及时报备。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年5月份对我局所有党内法规和规范性文件进行了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统计上报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。按照规定，每季度按时报送上季度发文目录。</w:t>
      </w:r>
    </w:p>
    <w:p w14:paraId="4DBED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）围绕民生、履职尽责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依法打造务实民政</w:t>
      </w:r>
    </w:p>
    <w:p w14:paraId="462D5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全面巩固兜底保障成果。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一是持续提高保障标准。二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全面落实社会救助兜底保障各项政策措施，实现建档立卡贫困人口“应兜尽兜”。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救助规模保持稳定，持续加强救助对象动态管理，充分发挥临时救助“救急难”功能。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做到“应保尽保、应退尽退、应救尽救”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全面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排查“三类对象”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944人，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向区乡村振兴局报送当季最新农村低保、特困对象、困难残疾人、重度残疾人信息。确保所有纳入对象精准。</w:t>
      </w:r>
    </w:p>
    <w:p w14:paraId="3068CA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着力提升城乡社区治理水平。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及时换发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统一社会信用代码证书、完善全国基层政权建设和社区治理信息系统相关内容，完成曾都区159个村社区换发事宜，换证率达100%。提高村级自治组织规范性建设，规范村（居）委会下属委员会建设。指导曾都区159个村（社区）全面建立村（居）民议事协商委员会健全议事规则，开展议事协商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加强城市社区工作者履职管理。西城街道双龙寺社区、何店镇桂华村获得全省第三届“全省百佳社区居民委员会”“全省百佳村民委员会”称号，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并获取省级基层治理创新引导资金支持。</w:t>
      </w:r>
    </w:p>
    <w:p w14:paraId="39625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加强社会组织管理。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落实社会组织法定代表人离任审计、注销清算审计实现全覆盖。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落实社会组织党建责任，强化社会组织登记前置检查。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组织社会组织依法依规开展年检，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月底前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175家社会组织按期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完成年检工作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年检合格率98.3%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强化社会组织行政执法，规范执法程序，提高执法质量。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按照不低于5%的抽检率对社会组织开展抽查审计，强化社会组织资金活动监管。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从“双随机、一公开”系统随机抽取社会组织10个并进行检查并向社会公示。进一步深化“放管服”、优化营商环境创新工作。</w:t>
      </w:r>
    </w:p>
    <w:p w14:paraId="226EF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规范行政区划地名管理工作。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市政府批复设立涢水街道，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涢水街道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行政区域界线勘定及新《曾都区行政区划图》编制的前期准备工作。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高标准高质量完成勘界工作，顺利通过省级验收并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“优秀”等次。</w:t>
      </w:r>
    </w:p>
    <w:p w14:paraId="1F4877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社会服务不断优化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一是持续提升养老机构服务质量。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特殊困难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老年人居家适老化工程改造行动，全年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共投资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40余万元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改造120户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持续加强社区居家养老服务设施建设，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切实加强养老机构常态化疫情防控。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聘请第三方机构，定期开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展消除安全隐患排查和消防设施检测等服务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确保民政服务机构不发生安全事故。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深化殡葬改革。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实现全域火化，全面启动城乡公益性公墓建设，严格执法规范服务，遏制殡葬乱象。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三是持续提升“三留守”人员福利保障水平。四是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结合“我为群众办实事”实践活动，深入开展民政惠民惠农财政补贴资金“一卡通”突出问题专项治理“回头看”工作。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婚姻登记工作管理规范。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殡葬惠民政策全面落实。</w:t>
      </w:r>
    </w:p>
    <w:p w14:paraId="2E544408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、工作中存在的困难和问题</w:t>
      </w:r>
    </w:p>
    <w:p w14:paraId="5619B2A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近年来，法治建设工作虽然取得了一些成绩，但是还存在一些困难和问题。主要表现在以下两个方面：</w:t>
      </w:r>
    </w:p>
    <w:p w14:paraId="75FD4A12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1.在对社会宣传民政法规和民政队伍自身增强法制观念方面，与上级党委、政府和人民群众的要求还存在一定差距。</w:t>
      </w:r>
    </w:p>
    <w:p w14:paraId="436CB32C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2.随着社会组织登记审批程序的简化,曾都区社会组织登记数量呈现异常快速的增长态势,社会组织监管面临极大挑战。</w:t>
      </w:r>
    </w:p>
    <w:p w14:paraId="438E239C"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三、党政主要负责人履行推进法治建设第一责任人职责，加强法治政府建设的有关情况</w:t>
      </w:r>
    </w:p>
    <w:p w14:paraId="50454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（一）牢固树立法治思维。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主要负责人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把打造学法、懂法、用法、守法的民政干部队伍作为义不容辞的责任。带头学习《中华人民共和国宪法》及民政工作相关法律法规。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拟定《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positio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position w:val="0"/>
          <w:sz w:val="32"/>
          <w:szCs w:val="32"/>
        </w:rPr>
        <w:t>年度履行推进法治建设第一责任人职责清单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position w:val="0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position w:val="0"/>
          <w:sz w:val="32"/>
          <w:szCs w:val="32"/>
          <w:lang w:val="en-US" w:eastAsia="zh-CN"/>
        </w:rPr>
        <w:t>对照清单带头垂范，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把主体责任与民政工作同安排、同部署、同推进，将落实主体责任贯穿到民政工作始终，做到常抓、常督、常落实。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党组定期听取法治建设工作汇报,及时研究解决有关重大问题。</w:t>
      </w:r>
    </w:p>
    <w:p w14:paraId="76190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提高依法行政能力。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创新领导干部学法内容和形式，将法治教育纳入《曾都区民政局党组理论学习中心组202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年学习计划》，提高依法理性维权的能力。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局机关全体干部深入学习《养老机构设立许可办法》、《中华人民共和国婚姻法》、《社会团体登记管理条例》和《民办非企业单位登记管理暂行条例》等相关法律法规，充分发挥法治的引导、规范、促进和保障作用。</w:t>
      </w:r>
    </w:p>
    <w:p w14:paraId="58C5967A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贯彻落实“三重一大”制度。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完善党委议事规则，实行“三重一大”集体决议制度。做到重大决策征求意见、重大问题集中讨论、重大事项集中决策，保证议事决策言路畅通、公正透明。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 w14:paraId="763449F8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2023年度推进法治政府建设的主要安排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　</w:t>
      </w:r>
    </w:p>
    <w:p w14:paraId="62FA459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切实兜住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eastAsia="zh-CN"/>
        </w:rPr>
        <w:t>兜牢基本民生底线。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加快健全分层分类的社会救助体系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。修订《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曾都区困难家庭经济状况认定核算办法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》。推进社会救助工作提质增效。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深入推进服务类社会救助试点建设工作。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广泛推广使用“困难群众信息上报”和“救助申请”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APP，确保全区社会救助经办人员下载使用全覆盖。健全完善居民家庭经济状况核对机制。完善社会救助监督检查长效机制。</w:t>
      </w:r>
    </w:p>
    <w:p w14:paraId="67A6FF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（二）推进养老服务高质量发展。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完善老年人福利制度。继续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开展特殊困难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老年人居家适老化工程改造行动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持续加强社区居家养老服务设施建设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落实考核评估机制，切实提升服务水平。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持续推进养老服务“双随机、一公开”监督。加强养老服务领域非法集资、金融诈骗、非法宗教活动等风险监测预警，有效防范化解重大安全风险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。</w:t>
      </w:r>
    </w:p>
    <w:p w14:paraId="3E336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（三）加强儿童福利和未成年人保护工作。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提升儿童福利保障水平。规范事实无人抚养儿童认定标准和程序，做到应保尽保。规范收养登记，扎实做好儿童福利领域风险防范。加强未成年人保护。学习宣传贯彻《中华人民共和国未成年人保护法》。提升农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留守儿童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关爱服务水平。协调相关部门落实好对农村留守儿童和困境儿童的生活保障、医疗保障、教育保障和监督保护。</w:t>
      </w:r>
    </w:p>
    <w:p w14:paraId="113BD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（四）推进基层政权建设和社区治理工作。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加强基层群众性自治组织规范化建设。推进社区规模优化调整，稳妥有序推进村改居。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不断深化城乡社区治理创新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。持续推行村（社区）治理积分制管理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。推进城乡社区服务质效提升。指导综合服务设施面积不达标的村(社区）推进综合服务设施补短板工程。组织社区专职工作人员招聘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调整社区工作者人均薪酬标准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加强社区工作者履职管理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组织指导社区工作者年度岗位培训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等工作。</w:t>
      </w:r>
    </w:p>
    <w:p w14:paraId="6E7E8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（五）推动社会组织良好有序发展。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规范社会组织登记管理。争取党委政府研究决定社会组织重大事项和听取社会组织工作汇报。落实社会组织登记部门会商制度。加强社会组织综合监管。 加强社会组织能力建设。全面开展社会组织等级评估。</w:t>
      </w:r>
    </w:p>
    <w:p w14:paraId="1391EF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（六）加强区划地名管理工作。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认真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贯彻落实党中央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、省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关于加强和改进行政区划工作的意见。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依法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审慎稳妥科学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行政区划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调整工作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持续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做好《地名管理条例》的宣传贯彻，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依法开展地名命名、更名、使用、文化保护、监督检查工作。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加快地名与界线成果转化利用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持续深化平安边界建设。</w:t>
      </w:r>
    </w:p>
    <w:p w14:paraId="1A595A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（七）提升专项社会事务管理水平。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加快殡葬改革及公益性公墓建设工作。建立健全殡葬改革工作机制。持续开展殡葬服务问题专项整治工作。加强婚姻管理服务工作。继续实施婚姻登记“全市通办”便民政策。提升残疾人福利水平。开展残疾人两项补贴精准管理政策落实“回头看”，确保应补尽补。继续推进残疾人两补及精神病社区康复工作。</w:t>
      </w:r>
    </w:p>
    <w:p w14:paraId="2290F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（八）促进慈善社工事业发展。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促进慈善事业健康发展。开展“湖北慈善周”主题宣传活动。组织全区党政机关及企事业单位开展“慈善一日捐”活动，发挥慈善资金效能，实施困难群体关爱项目。推广省慈善总会“幸福家园”村社互助平台应用，鼓励慈善组织开展慈善服务。加强慈善组织日常监管，规范慈善组织信息公开。加强社会工作专业人才队伍建设。</w:t>
      </w:r>
    </w:p>
    <w:p w14:paraId="08011294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 w14:paraId="73B9FD78">
      <w:pPr>
        <w:rPr>
          <w:rFonts w:ascii="仿宋" w:hAnsi="仿宋" w:eastAsia="仿宋" w:cs="仿宋"/>
          <w:color w:val="auto"/>
          <w:sz w:val="32"/>
          <w:szCs w:val="32"/>
        </w:rPr>
      </w:pPr>
    </w:p>
    <w:p w14:paraId="484B92FE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　　　　　　　　　　　　随州市曾都区民政局</w:t>
      </w:r>
    </w:p>
    <w:p w14:paraId="322B68B9"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　　　　　　　　　　　　　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7487761"/>
    </w:sdtPr>
    <w:sdtContent>
      <w:sdt>
        <w:sdtPr>
          <w:id w:val="1728636285"/>
        </w:sdtPr>
        <w:sdtContent>
          <w:p w14:paraId="35C29819">
            <w:pPr>
              <w:pStyle w:val="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AF7763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0F480"/>
    <w:multiLevelType w:val="singleLevel"/>
    <w:tmpl w:val="F820F4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00795758"/>
    <w:rsid w:val="000560C9"/>
    <w:rsid w:val="000D0E59"/>
    <w:rsid w:val="00117939"/>
    <w:rsid w:val="00117C2C"/>
    <w:rsid w:val="00127B47"/>
    <w:rsid w:val="001343F1"/>
    <w:rsid w:val="001608C4"/>
    <w:rsid w:val="001F4D4A"/>
    <w:rsid w:val="00276747"/>
    <w:rsid w:val="00282ED0"/>
    <w:rsid w:val="00355468"/>
    <w:rsid w:val="003559F4"/>
    <w:rsid w:val="003C60E2"/>
    <w:rsid w:val="0046018F"/>
    <w:rsid w:val="005046B9"/>
    <w:rsid w:val="005402EA"/>
    <w:rsid w:val="00551FD7"/>
    <w:rsid w:val="00564BAB"/>
    <w:rsid w:val="005D7395"/>
    <w:rsid w:val="005F1323"/>
    <w:rsid w:val="005F2AC8"/>
    <w:rsid w:val="00601720"/>
    <w:rsid w:val="006735CE"/>
    <w:rsid w:val="00696B81"/>
    <w:rsid w:val="006D2BA0"/>
    <w:rsid w:val="007228FA"/>
    <w:rsid w:val="007278BF"/>
    <w:rsid w:val="00754B5A"/>
    <w:rsid w:val="00774805"/>
    <w:rsid w:val="007922A6"/>
    <w:rsid w:val="00795758"/>
    <w:rsid w:val="007B029E"/>
    <w:rsid w:val="007C1A46"/>
    <w:rsid w:val="007E3101"/>
    <w:rsid w:val="008010AF"/>
    <w:rsid w:val="00837F8D"/>
    <w:rsid w:val="0088664B"/>
    <w:rsid w:val="00905766"/>
    <w:rsid w:val="009122CB"/>
    <w:rsid w:val="00946147"/>
    <w:rsid w:val="00987273"/>
    <w:rsid w:val="009B5DF8"/>
    <w:rsid w:val="009E68D8"/>
    <w:rsid w:val="009F23EB"/>
    <w:rsid w:val="00A162FE"/>
    <w:rsid w:val="00A33DE8"/>
    <w:rsid w:val="00AB34AA"/>
    <w:rsid w:val="00AF5C90"/>
    <w:rsid w:val="00B27125"/>
    <w:rsid w:val="00B3502B"/>
    <w:rsid w:val="00B77724"/>
    <w:rsid w:val="00B82C62"/>
    <w:rsid w:val="00B83EE7"/>
    <w:rsid w:val="00BE0BCE"/>
    <w:rsid w:val="00BF7810"/>
    <w:rsid w:val="00C0556B"/>
    <w:rsid w:val="00CD5C85"/>
    <w:rsid w:val="00D14DD3"/>
    <w:rsid w:val="00D15D25"/>
    <w:rsid w:val="00D74182"/>
    <w:rsid w:val="00E53162"/>
    <w:rsid w:val="00E73056"/>
    <w:rsid w:val="00E827A7"/>
    <w:rsid w:val="00EB0FE8"/>
    <w:rsid w:val="00F03025"/>
    <w:rsid w:val="00F2605B"/>
    <w:rsid w:val="00F50C72"/>
    <w:rsid w:val="00F63B1A"/>
    <w:rsid w:val="00F9495C"/>
    <w:rsid w:val="00FD72E2"/>
    <w:rsid w:val="03F87FAD"/>
    <w:rsid w:val="0D934AE9"/>
    <w:rsid w:val="0E256142"/>
    <w:rsid w:val="14860174"/>
    <w:rsid w:val="1AE85294"/>
    <w:rsid w:val="1BBF1121"/>
    <w:rsid w:val="20CB2E38"/>
    <w:rsid w:val="29FE78BC"/>
    <w:rsid w:val="4EC15D54"/>
    <w:rsid w:val="5A1E198D"/>
    <w:rsid w:val="5E1441E5"/>
    <w:rsid w:val="64F63947"/>
    <w:rsid w:val="72456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40" w:line="276" w:lineRule="auto"/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1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B0219-5F59-4F60-8D79-07125AED91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4408</Words>
  <Characters>4489</Characters>
  <Lines>20</Lines>
  <Paragraphs>5</Paragraphs>
  <TotalTime>30</TotalTime>
  <ScaleCrop>false</ScaleCrop>
  <LinksUpToDate>false</LinksUpToDate>
  <CharactersWithSpaces>4533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2020-06-17T08:40:00Z</dcterms:created>
  <dc:creator>AutoBVT</dc:creator>
  <cp:lastModifiedBy>李启航15586692525</cp:lastModifiedBy>
  <cp:lastPrinted>2023-01-03T07:23:00Z</cp:lastPrinted>
  <dcterms:modified xsi:type="dcterms:W3CDTF">2024-07-31T08:37:17Z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B0C2A07EE76D43C58F99EC9A3479B707_13</vt:lpwstr>
  </property>
</Properties>
</file>