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spacing w:line="580" w:lineRule="exact"/>
        <w:jc w:val="left"/>
        <w:textAlignment w:val="auto"/>
        <w:rPr>
          <w:rFonts w:hint="eastAsia" w:ascii="Times New Roman" w:hAnsi="Times New Roman" w:eastAsia="CESI黑体-GB2312" w:cs="CESI黑体-GB2312"/>
          <w:b/>
          <w:bCs/>
          <w:sz w:val="36"/>
          <w:szCs w:val="36"/>
        </w:rPr>
      </w:pPr>
      <w:bookmarkStart w:id="0" w:name="_GoBack"/>
      <w:bookmarkEnd w:id="0"/>
      <w:r>
        <w:rPr>
          <w:rFonts w:hint="eastAsia" w:ascii="Times New Roman" w:hAnsi="Times New Roman" w:eastAsia="CESI黑体-GB2312" w:cs="CESI黑体-GB2312"/>
          <w:spacing w:val="-6"/>
          <w:sz w:val="32"/>
          <w:szCs w:val="32"/>
        </w:rPr>
        <w:t>附件</w:t>
      </w:r>
    </w:p>
    <w:p>
      <w:pPr>
        <w:keepNext w:val="0"/>
        <w:keepLines w:val="0"/>
        <w:pageBreakBefore w:val="0"/>
        <w:kinsoku/>
        <w:overflowPunct/>
        <w:topLinePunct w:val="0"/>
        <w:autoSpaceDE/>
        <w:autoSpaceDN/>
        <w:bidi w:val="0"/>
        <w:spacing w:line="580" w:lineRule="exact"/>
        <w:ind w:firstLine="800" w:firstLineChars="200"/>
        <w:jc w:val="center"/>
        <w:textAlignment w:val="auto"/>
        <w:rPr>
          <w:rFonts w:hint="eastAsia" w:ascii="Times New Roman" w:hAnsi="Times New Roman" w:eastAsia="CESI小标宋-GB2312" w:cs="CESI小标宋-GB2312"/>
          <w:sz w:val="40"/>
          <w:szCs w:val="40"/>
        </w:rPr>
      </w:pPr>
      <w:r>
        <w:rPr>
          <w:rFonts w:hint="eastAsia" w:ascii="Times New Roman" w:hAnsi="Times New Roman" w:eastAsia="CESI小标宋-GB2312" w:cs="CESI小标宋-GB2312"/>
          <w:sz w:val="40"/>
          <w:szCs w:val="40"/>
          <w:lang w:val="en-US" w:eastAsia="zh-CN"/>
        </w:rPr>
        <w:t>随州市曾都区林业局2025</w:t>
      </w:r>
      <w:r>
        <w:rPr>
          <w:rFonts w:hint="eastAsia" w:ascii="Times New Roman" w:hAnsi="Times New Roman" w:eastAsia="CESI小标宋-GB2312" w:cs="CESI小标宋-GB2312"/>
          <w:sz w:val="40"/>
          <w:szCs w:val="40"/>
        </w:rPr>
        <w:t>年度行政执法统计年报</w:t>
      </w:r>
    </w:p>
    <w:p>
      <w:pPr>
        <w:keepNext w:val="0"/>
        <w:keepLines w:val="0"/>
        <w:pageBreakBefore w:val="0"/>
        <w:kinsoku/>
        <w:overflowPunct/>
        <w:topLinePunct w:val="0"/>
        <w:autoSpaceDE/>
        <w:autoSpaceDN/>
        <w:bidi w:val="0"/>
        <w:spacing w:line="580" w:lineRule="exact"/>
        <w:ind w:firstLine="800" w:firstLineChars="200"/>
        <w:jc w:val="center"/>
        <w:textAlignment w:val="auto"/>
        <w:rPr>
          <w:rFonts w:hint="eastAsia" w:ascii="Times New Roman" w:hAnsi="Times New Roman" w:eastAsia="CESI小标宋-GB2312" w:cs="CESI小标宋-GB2312"/>
          <w:sz w:val="40"/>
          <w:szCs w:val="40"/>
        </w:rPr>
      </w:pPr>
    </w:p>
    <w:p>
      <w:pPr>
        <w:keepNext w:val="0"/>
        <w:keepLines w:val="0"/>
        <w:pageBreakBefore w:val="0"/>
        <w:kinsoku/>
        <w:overflowPunct/>
        <w:topLinePunct w:val="0"/>
        <w:autoSpaceDE/>
        <w:autoSpaceDN/>
        <w:bidi w:val="0"/>
        <w:spacing w:line="580" w:lineRule="exact"/>
        <w:ind w:firstLine="720" w:firstLineChars="200"/>
        <w:textAlignment w:val="auto"/>
        <w:rPr>
          <w:rFonts w:hint="eastAsia" w:ascii="Times New Roman" w:hAnsi="Times New Roman" w:eastAsia="CESI仿宋-GB2312" w:cs="CESI仿宋-GB2312"/>
          <w:b/>
          <w:bCs/>
          <w:sz w:val="36"/>
          <w:szCs w:val="36"/>
        </w:rPr>
      </w:pPr>
    </w:p>
    <w:p>
      <w:pPr>
        <w:keepNext w:val="0"/>
        <w:keepLines w:val="0"/>
        <w:pageBreakBefore w:val="0"/>
        <w:numPr>
          <w:ilvl w:val="0"/>
          <w:numId w:val="1"/>
        </w:numPr>
        <w:kinsoku/>
        <w:overflowPunct/>
        <w:topLinePunct w:val="0"/>
        <w:autoSpaceDE/>
        <w:autoSpaceDN/>
        <w:bidi w:val="0"/>
        <w:spacing w:line="580" w:lineRule="exact"/>
        <w:ind w:firstLine="640" w:firstLineChars="200"/>
        <w:textAlignment w:val="auto"/>
        <w:rPr>
          <w:rFonts w:hint="eastAsia" w:ascii="Times New Roman" w:hAnsi="Times New Roman" w:eastAsia="CESI黑体-GB2312" w:cs="CESI黑体-GB2312"/>
          <w:sz w:val="32"/>
          <w:szCs w:val="32"/>
        </w:rPr>
      </w:pPr>
      <w:r>
        <w:rPr>
          <w:rFonts w:hint="eastAsia" w:ascii="Times New Roman" w:hAnsi="Times New Roman" w:eastAsia="CESI黑体-GB2312" w:cs="CESI黑体-GB2312"/>
          <w:sz w:val="32"/>
          <w:szCs w:val="32"/>
        </w:rPr>
        <w:t>行政执法主体概况</w:t>
      </w:r>
    </w:p>
    <w:tbl>
      <w:tblPr>
        <w:tblStyle w:val="5"/>
        <w:tblpPr w:leftFromText="180" w:rightFromText="180" w:vertAnchor="text" w:horzAnchor="page" w:tblpXSpec="center" w:tblpY="307"/>
        <w:tblOverlap w:val="never"/>
        <w:tblW w:w="12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307"/>
        <w:gridCol w:w="1270"/>
        <w:gridCol w:w="1047"/>
        <w:gridCol w:w="1151"/>
        <w:gridCol w:w="1375"/>
        <w:gridCol w:w="1151"/>
        <w:gridCol w:w="1336"/>
        <w:gridCol w:w="1440"/>
        <w:gridCol w:w="1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682" w:type="dxa"/>
            <w:gridSpan w:val="10"/>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0" w:firstLineChars="200"/>
              <w:jc w:val="center"/>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CESI黑体-GB2312" w:cs="CESI黑体-GB2312"/>
                <w:bCs/>
                <w:kern w:val="0"/>
                <w:sz w:val="21"/>
                <w:szCs w:val="21"/>
                <w:lang w:val="en-US" w:eastAsia="zh-CN" w:bidi="ar-SA"/>
              </w:rPr>
              <w:t>行政执法主体基本信息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单位</w:t>
            </w:r>
          </w:p>
        </w:tc>
        <w:tc>
          <w:tcPr>
            <w:tcW w:w="130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行政机关（个）</w:t>
            </w:r>
          </w:p>
        </w:tc>
        <w:tc>
          <w:tcPr>
            <w:tcW w:w="127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授权组织（个）</w:t>
            </w:r>
          </w:p>
        </w:tc>
        <w:tc>
          <w:tcPr>
            <w:tcW w:w="1047"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受委托组织（个）</w:t>
            </w:r>
          </w:p>
        </w:tc>
        <w:tc>
          <w:tcPr>
            <w:tcW w:w="115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内设法制部门（个）</w:t>
            </w:r>
          </w:p>
        </w:tc>
        <w:tc>
          <w:tcPr>
            <w:tcW w:w="13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内设行政执法部门（个）</w:t>
            </w:r>
          </w:p>
        </w:tc>
        <w:tc>
          <w:tcPr>
            <w:tcW w:w="115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行政执法人员（人）</w:t>
            </w:r>
          </w:p>
        </w:tc>
        <w:tc>
          <w:tcPr>
            <w:tcW w:w="133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行政执法人员清理（人）</w:t>
            </w:r>
          </w:p>
        </w:tc>
        <w:tc>
          <w:tcPr>
            <w:tcW w:w="14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行政执法事项（个）</w:t>
            </w:r>
          </w:p>
        </w:tc>
        <w:tc>
          <w:tcPr>
            <w:tcW w:w="15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行政执法事项清理（个）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065" w:type="dxa"/>
            <w:noWrap w:val="0"/>
            <w:vAlign w:val="center"/>
          </w:tcPr>
          <w:p>
            <w:pPr>
              <w:adjustRightInd w:val="0"/>
              <w:snapToGrid w:val="0"/>
              <w:jc w:val="center"/>
              <w:rPr>
                <w:rFonts w:hint="default" w:ascii="Times New Roman" w:hAnsi="Times New Roman" w:eastAsia="仿宋_GB2312" w:cs="仿宋_GB2312"/>
                <w:b/>
                <w:bCs/>
                <w:sz w:val="21"/>
                <w:szCs w:val="21"/>
                <w:vertAlign w:val="baseline"/>
                <w:lang w:val="en-US" w:eastAsia="zh-CN"/>
              </w:rPr>
            </w:pPr>
            <w:r>
              <w:rPr>
                <w:rFonts w:hint="eastAsia" w:ascii="仿宋_GB2312" w:hAnsi="仿宋_GB2312" w:eastAsia="仿宋_GB2312" w:cs="仿宋_GB2312"/>
                <w:b/>
                <w:bCs/>
                <w:sz w:val="21"/>
                <w:szCs w:val="21"/>
                <w:lang w:val="en-US" w:eastAsia="zh-CN"/>
              </w:rPr>
              <w:t>区林业局</w:t>
            </w:r>
          </w:p>
        </w:tc>
        <w:tc>
          <w:tcPr>
            <w:tcW w:w="1307" w:type="dxa"/>
            <w:noWrap w:val="0"/>
            <w:vAlign w:val="center"/>
          </w:tcPr>
          <w:p>
            <w:pPr>
              <w:adjustRightInd w:val="0"/>
              <w:snapToGrid w:val="0"/>
              <w:jc w:val="center"/>
              <w:rPr>
                <w:rFonts w:hint="eastAsia" w:ascii="Times New Roman" w:hAnsi="Times New Roman" w:eastAsia="仿宋_GB2312" w:cs="仿宋_GB2312"/>
                <w:b/>
                <w:bCs/>
                <w:sz w:val="21"/>
                <w:szCs w:val="21"/>
                <w:vertAlign w:val="baseline"/>
              </w:rPr>
            </w:pPr>
            <w:r>
              <w:rPr>
                <w:rFonts w:hint="eastAsia" w:ascii="仿宋_GB2312" w:hAnsi="仿宋_GB2312" w:eastAsia="仿宋_GB2312" w:cs="仿宋_GB2312"/>
                <w:b/>
                <w:bCs/>
                <w:sz w:val="21"/>
                <w:szCs w:val="21"/>
                <w:lang w:val="en-US" w:eastAsia="zh-CN"/>
              </w:rPr>
              <w:t>1</w:t>
            </w:r>
          </w:p>
        </w:tc>
        <w:tc>
          <w:tcPr>
            <w:tcW w:w="1270" w:type="dxa"/>
            <w:noWrap w:val="0"/>
            <w:vAlign w:val="center"/>
          </w:tcPr>
          <w:p>
            <w:pPr>
              <w:adjustRightInd w:val="0"/>
              <w:snapToGrid w:val="0"/>
              <w:jc w:val="center"/>
              <w:rPr>
                <w:rFonts w:hint="eastAsia" w:ascii="Times New Roman" w:hAnsi="Times New Roman" w:eastAsia="仿宋_GB2312" w:cs="仿宋_GB2312"/>
                <w:b/>
                <w:bCs/>
                <w:sz w:val="21"/>
                <w:szCs w:val="21"/>
                <w:vertAlign w:val="baseline"/>
              </w:rPr>
            </w:pPr>
            <w:r>
              <w:rPr>
                <w:rFonts w:hint="eastAsia" w:ascii="仿宋_GB2312" w:hAnsi="仿宋_GB2312" w:eastAsia="仿宋_GB2312" w:cs="仿宋_GB2312"/>
                <w:b/>
                <w:bCs/>
                <w:sz w:val="21"/>
                <w:szCs w:val="21"/>
                <w:lang w:val="en-US" w:eastAsia="zh-CN"/>
              </w:rPr>
              <w:t>0</w:t>
            </w:r>
          </w:p>
        </w:tc>
        <w:tc>
          <w:tcPr>
            <w:tcW w:w="1047" w:type="dxa"/>
            <w:noWrap w:val="0"/>
            <w:vAlign w:val="center"/>
          </w:tcPr>
          <w:p>
            <w:pPr>
              <w:adjustRightInd w:val="0"/>
              <w:snapToGrid w:val="0"/>
              <w:jc w:val="center"/>
              <w:rPr>
                <w:rFonts w:hint="eastAsia" w:ascii="Times New Roman" w:hAnsi="Times New Roman" w:eastAsia="仿宋_GB2312" w:cs="仿宋_GB2312"/>
                <w:b/>
                <w:bCs/>
                <w:sz w:val="21"/>
                <w:szCs w:val="21"/>
                <w:vertAlign w:val="baseline"/>
              </w:rPr>
            </w:pPr>
            <w:r>
              <w:rPr>
                <w:rFonts w:hint="eastAsia" w:ascii="仿宋_GB2312" w:hAnsi="仿宋_GB2312" w:eastAsia="仿宋_GB2312" w:cs="仿宋_GB2312"/>
                <w:b/>
                <w:bCs/>
                <w:sz w:val="21"/>
                <w:szCs w:val="21"/>
                <w:lang w:val="en-US" w:eastAsia="zh-CN"/>
              </w:rPr>
              <w:t>4</w:t>
            </w:r>
          </w:p>
        </w:tc>
        <w:tc>
          <w:tcPr>
            <w:tcW w:w="1151" w:type="dxa"/>
            <w:noWrap w:val="0"/>
            <w:vAlign w:val="center"/>
          </w:tcPr>
          <w:p>
            <w:pPr>
              <w:adjustRightInd w:val="0"/>
              <w:snapToGrid w:val="0"/>
              <w:jc w:val="center"/>
              <w:rPr>
                <w:rFonts w:hint="eastAsia" w:ascii="Times New Roman" w:hAnsi="Times New Roman" w:eastAsia="仿宋_GB2312" w:cs="仿宋_GB2312"/>
                <w:b/>
                <w:bCs/>
                <w:sz w:val="21"/>
                <w:szCs w:val="21"/>
                <w:vertAlign w:val="baseline"/>
              </w:rPr>
            </w:pPr>
            <w:r>
              <w:rPr>
                <w:rFonts w:hint="eastAsia" w:ascii="仿宋_GB2312" w:hAnsi="仿宋_GB2312" w:eastAsia="仿宋_GB2312" w:cs="仿宋_GB2312"/>
                <w:b/>
                <w:bCs/>
                <w:sz w:val="21"/>
                <w:szCs w:val="21"/>
                <w:lang w:val="en-US" w:eastAsia="zh-CN"/>
              </w:rPr>
              <w:t>1</w:t>
            </w:r>
          </w:p>
        </w:tc>
        <w:tc>
          <w:tcPr>
            <w:tcW w:w="1375" w:type="dxa"/>
            <w:noWrap w:val="0"/>
            <w:vAlign w:val="center"/>
          </w:tcPr>
          <w:p>
            <w:pPr>
              <w:adjustRightInd w:val="0"/>
              <w:snapToGrid w:val="0"/>
              <w:jc w:val="center"/>
              <w:rPr>
                <w:rFonts w:hint="eastAsia" w:ascii="Times New Roman" w:hAnsi="Times New Roman" w:eastAsia="仿宋_GB2312" w:cs="仿宋_GB2312"/>
                <w:b/>
                <w:bCs/>
                <w:sz w:val="21"/>
                <w:szCs w:val="21"/>
                <w:vertAlign w:val="baseline"/>
              </w:rPr>
            </w:pPr>
            <w:r>
              <w:rPr>
                <w:rFonts w:hint="eastAsia" w:ascii="仿宋_GB2312" w:hAnsi="仿宋_GB2312" w:eastAsia="仿宋_GB2312" w:cs="仿宋_GB2312"/>
                <w:b/>
                <w:bCs/>
                <w:sz w:val="21"/>
                <w:szCs w:val="21"/>
                <w:lang w:val="en-US" w:eastAsia="zh-CN"/>
              </w:rPr>
              <w:t>0</w:t>
            </w:r>
          </w:p>
        </w:tc>
        <w:tc>
          <w:tcPr>
            <w:tcW w:w="115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1" w:firstLineChars="200"/>
              <w:jc w:val="both"/>
              <w:textAlignment w:val="auto"/>
              <w:rPr>
                <w:rFonts w:hint="default"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51</w:t>
            </w:r>
          </w:p>
        </w:tc>
        <w:tc>
          <w:tcPr>
            <w:tcW w:w="133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1" w:firstLineChars="200"/>
              <w:jc w:val="both"/>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3</w:t>
            </w:r>
          </w:p>
        </w:tc>
        <w:tc>
          <w:tcPr>
            <w:tcW w:w="14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104</w:t>
            </w:r>
          </w:p>
        </w:tc>
        <w:tc>
          <w:tcPr>
            <w:tcW w:w="15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1" w:firstLineChars="200"/>
              <w:jc w:val="left"/>
              <w:textAlignment w:val="auto"/>
              <w:rPr>
                <w:rFonts w:hint="default"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 xml:space="preserve">  0</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1" w:firstLineChars="200"/>
        <w:jc w:val="center"/>
        <w:textAlignment w:val="auto"/>
        <w:rPr>
          <w:rFonts w:hint="eastAsia" w:ascii="Times New Roman" w:hAnsi="Times New Roman" w:eastAsia="仿宋_GB2312" w:cs="仿宋_GB2312"/>
          <w:b/>
          <w:bCs/>
          <w:kern w:val="0"/>
          <w:sz w:val="21"/>
          <w:szCs w:val="21"/>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仿宋_GB2312" w:cs="仿宋_GB2312"/>
          <w:b/>
          <w:bCs/>
          <w:kern w:val="0"/>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仿宋_GB2312" w:cs="仿宋_GB2312"/>
          <w:b/>
          <w:bCs/>
          <w:kern w:val="0"/>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仿宋_GB2312" w:cs="仿宋_GB2312"/>
          <w:b/>
          <w:bCs/>
          <w:kern w:val="0"/>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仿宋_GB2312"/>
          <w:kern w:val="0"/>
          <w:sz w:val="21"/>
          <w:szCs w:val="21"/>
          <w:lang w:val="en-US" w:eastAsia="zh-CN" w:bidi="ar-SA"/>
        </w:rPr>
      </w:pPr>
      <w:r>
        <w:rPr>
          <w:rFonts w:hint="eastAsia" w:ascii="Times New Roman" w:hAnsi="Times New Roman" w:eastAsia="仿宋_GB2312" w:cs="仿宋_GB2312"/>
          <w:b/>
          <w:bCs/>
          <w:kern w:val="0"/>
          <w:sz w:val="32"/>
          <w:szCs w:val="32"/>
          <w:lang w:val="en-US" w:eastAsia="zh-CN" w:bidi="ar-SA"/>
        </w:rPr>
        <w:t>说明：1.</w:t>
      </w:r>
      <w:r>
        <w:rPr>
          <w:rFonts w:hint="eastAsia" w:ascii="Times New Roman" w:hAnsi="Times New Roman" w:eastAsia="仿宋_GB2312" w:cs="仿宋_GB2312"/>
          <w:b w:val="0"/>
          <w:bCs w:val="0"/>
          <w:kern w:val="0"/>
          <w:sz w:val="32"/>
          <w:szCs w:val="32"/>
          <w:lang w:val="en-US" w:eastAsia="zh-CN" w:bidi="ar-SA"/>
        </w:rPr>
        <w:t>省直单位分省本级和市州填报，市州分市本级和县（市、区）级填报（下同）。行政执法人员、行政执法事项统计情况司法行政机关要做好审核工作。2.行政执法人员清理人数是在因退休、调离执法工作岗位等原因不再从事行政执法工作的人员数量。3.行政执法事项清理数量是指因行政执法部门权责事项调整等原因行政执法执法事项增减划转修改事项数量。</w:t>
      </w:r>
    </w:p>
    <w:p>
      <w:pPr>
        <w:keepNext w:val="0"/>
        <w:keepLines w:val="0"/>
        <w:pageBreakBefore w:val="0"/>
        <w:kinsoku/>
        <w:overflowPunct/>
        <w:topLinePunct w:val="0"/>
        <w:autoSpaceDE/>
        <w:autoSpaceDN/>
        <w:bidi w:val="0"/>
        <w:spacing w:line="580" w:lineRule="exact"/>
        <w:ind w:firstLine="640" w:firstLineChars="200"/>
        <w:textAlignment w:val="auto"/>
        <w:rPr>
          <w:rFonts w:hint="eastAsia" w:ascii="Times New Roman" w:hAnsi="Times New Roman" w:eastAsia="CESI黑体-GB2312" w:cs="CESI黑体-GB2312"/>
          <w:sz w:val="32"/>
          <w:szCs w:val="32"/>
          <w:lang w:eastAsia="zh-CN"/>
        </w:rPr>
      </w:pPr>
      <w:r>
        <w:rPr>
          <w:rFonts w:hint="eastAsia" w:ascii="Times New Roman" w:hAnsi="Times New Roman" w:eastAsia="CESI黑体-GB2312" w:cs="CESI黑体-GB2312"/>
          <w:sz w:val="32"/>
          <w:szCs w:val="32"/>
        </w:rPr>
        <w:br w:type="page"/>
      </w:r>
      <w:r>
        <w:rPr>
          <w:rFonts w:hint="eastAsia" w:ascii="Times New Roman" w:hAnsi="Times New Roman" w:eastAsia="CESI黑体-GB2312" w:cs="CESI黑体-GB2312"/>
          <w:sz w:val="32"/>
          <w:szCs w:val="32"/>
        </w:rPr>
        <w:t>二、</w:t>
      </w:r>
      <w:r>
        <w:rPr>
          <w:rFonts w:hint="eastAsia" w:ascii="Times New Roman" w:hAnsi="Times New Roman" w:eastAsia="CESI黑体-GB2312" w:cs="CESI黑体-GB2312"/>
          <w:sz w:val="32"/>
          <w:szCs w:val="32"/>
          <w:lang w:eastAsia="zh-CN"/>
        </w:rPr>
        <w:t>2025</w:t>
      </w:r>
      <w:r>
        <w:rPr>
          <w:rFonts w:hint="eastAsia" w:ascii="Times New Roman" w:hAnsi="Times New Roman" w:eastAsia="CESI黑体-GB2312" w:cs="CESI黑体-GB2312"/>
          <w:sz w:val="32"/>
          <w:szCs w:val="32"/>
        </w:rPr>
        <w:t>年度行政执法案件情况</w:t>
      </w:r>
    </w:p>
    <w:p>
      <w:pPr>
        <w:pStyle w:val="3"/>
        <w:keepNext w:val="0"/>
        <w:keepLines w:val="0"/>
        <w:pageBreakBefore w:val="0"/>
        <w:widowControl/>
        <w:kinsoku/>
        <w:overflowPunct/>
        <w:topLinePunct w:val="0"/>
        <w:autoSpaceDE/>
        <w:autoSpaceDN/>
        <w:bidi w:val="0"/>
        <w:spacing w:before="0" w:beforeAutospacing="0" w:after="0" w:afterAutospacing="0" w:line="580" w:lineRule="exact"/>
        <w:ind w:firstLine="640"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t>（一）</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年行政处罚实施情况统计表</w:t>
      </w:r>
    </w:p>
    <w:tbl>
      <w:tblPr>
        <w:tblStyle w:val="4"/>
        <w:tblW w:w="125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375"/>
        <w:gridCol w:w="1559"/>
        <w:gridCol w:w="1222"/>
        <w:gridCol w:w="1081"/>
        <w:gridCol w:w="1402"/>
        <w:gridCol w:w="1560"/>
        <w:gridCol w:w="1390"/>
        <w:gridCol w:w="1490"/>
        <w:gridCol w:w="148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2560" w:type="dxa"/>
            <w:gridSpan w:val="9"/>
            <w:noWrap/>
            <w:tcMar>
              <w:top w:w="0" w:type="dxa"/>
              <w:left w:w="84" w:type="dxa"/>
              <w:bottom w:w="0" w:type="dxa"/>
              <w:right w:w="84" w:type="dxa"/>
            </w:tcMar>
            <w:vAlign w:val="center"/>
          </w:tcPr>
          <w:p>
            <w:pPr>
              <w:pStyle w:val="3"/>
              <w:keepNext w:val="0"/>
              <w:keepLines w:val="0"/>
              <w:pageBreakBefore w:val="0"/>
              <w:widowControl/>
              <w:tabs>
                <w:tab w:val="left" w:pos="3082"/>
              </w:tabs>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行政处罚实施数量（宗）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default"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1559"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警告</w:t>
            </w:r>
          </w:p>
        </w:tc>
        <w:tc>
          <w:tcPr>
            <w:tcW w:w="122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通报批评</w:t>
            </w:r>
          </w:p>
        </w:tc>
        <w:tc>
          <w:tcPr>
            <w:tcW w:w="10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罚款</w:t>
            </w:r>
          </w:p>
        </w:tc>
        <w:tc>
          <w:tcPr>
            <w:tcW w:w="140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没收违法所得</w:t>
            </w:r>
          </w:p>
        </w:tc>
        <w:tc>
          <w:tcPr>
            <w:tcW w:w="156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没收非法财物</w:t>
            </w:r>
          </w:p>
        </w:tc>
        <w:tc>
          <w:tcPr>
            <w:tcW w:w="13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暂扣许可证件</w:t>
            </w:r>
          </w:p>
        </w:tc>
        <w:tc>
          <w:tcPr>
            <w:tcW w:w="14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降低资质等级</w:t>
            </w:r>
          </w:p>
        </w:tc>
        <w:tc>
          <w:tcPr>
            <w:tcW w:w="14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吊销许可证件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vMerge w:val="restart"/>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lang w:eastAsia="zh-CN"/>
              </w:rPr>
            </w:pPr>
            <w:r>
              <w:rPr>
                <w:rFonts w:hint="eastAsia" w:ascii="仿宋_GB2312" w:hAnsi="仿宋_GB2312" w:eastAsia="仿宋_GB2312" w:cs="仿宋_GB2312"/>
                <w:b/>
                <w:bCs/>
                <w:sz w:val="21"/>
                <w:szCs w:val="21"/>
                <w:lang w:val="en-US" w:eastAsia="zh-CN"/>
              </w:rPr>
              <w:t>区林业局</w:t>
            </w:r>
          </w:p>
        </w:tc>
        <w:tc>
          <w:tcPr>
            <w:tcW w:w="1559"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222"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081"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仿宋-GB2312" w:cs="CESI仿宋-GB2312"/>
                <w:sz w:val="21"/>
                <w:szCs w:val="21"/>
                <w:lang w:val="en-US" w:eastAsia="zh-CN"/>
              </w:rPr>
            </w:pPr>
            <w:r>
              <w:rPr>
                <w:rFonts w:hint="eastAsia" w:ascii="Times New Roman" w:hAnsi="Times New Roman" w:eastAsia="CESI仿宋-GB2312" w:cs="CESI仿宋-GB2312"/>
                <w:sz w:val="21"/>
                <w:szCs w:val="21"/>
                <w:lang w:val="en-US" w:eastAsia="zh-CN"/>
              </w:rPr>
              <w:t>80</w:t>
            </w:r>
          </w:p>
        </w:tc>
        <w:tc>
          <w:tcPr>
            <w:tcW w:w="1402"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56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39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49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481"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vMerge w:val="continue"/>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p>
        </w:tc>
        <w:tc>
          <w:tcPr>
            <w:tcW w:w="1559"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p>
        </w:tc>
        <w:tc>
          <w:tcPr>
            <w:tcW w:w="122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p>
        </w:tc>
        <w:tc>
          <w:tcPr>
            <w:tcW w:w="10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kern w:val="0"/>
                <w:sz w:val="21"/>
                <w:szCs w:val="21"/>
                <w:lang w:val="en-US" w:eastAsia="zh-CN" w:bidi="ar-SA"/>
              </w:rPr>
              <w:t>5</w:t>
            </w:r>
          </w:p>
        </w:tc>
        <w:tc>
          <w:tcPr>
            <w:tcW w:w="140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p>
        </w:tc>
        <w:tc>
          <w:tcPr>
            <w:tcW w:w="156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p>
        </w:tc>
        <w:tc>
          <w:tcPr>
            <w:tcW w:w="13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p>
        </w:tc>
        <w:tc>
          <w:tcPr>
            <w:tcW w:w="14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p>
        </w:tc>
        <w:tc>
          <w:tcPr>
            <w:tcW w:w="14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tcBorders>
              <w:top w:val="single" w:color="auto" w:sz="4" w:space="0"/>
              <w:bottom w:val="single" w:color="auto" w:sz="6"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1559" w:type="dxa"/>
            <w:tcBorders>
              <w:bottom w:val="single" w:color="auto" w:sz="6"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bCs/>
                <w:sz w:val="21"/>
                <w:szCs w:val="21"/>
              </w:rPr>
              <w:t>限制开展生产经营活动</w:t>
            </w:r>
          </w:p>
        </w:tc>
        <w:tc>
          <w:tcPr>
            <w:tcW w:w="122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bCs/>
                <w:sz w:val="21"/>
                <w:szCs w:val="21"/>
              </w:rPr>
              <w:t>责令停产停业</w:t>
            </w:r>
          </w:p>
        </w:tc>
        <w:tc>
          <w:tcPr>
            <w:tcW w:w="10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责令关闭</w:t>
            </w:r>
          </w:p>
        </w:tc>
        <w:tc>
          <w:tcPr>
            <w:tcW w:w="140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限制从业</w:t>
            </w:r>
          </w:p>
        </w:tc>
        <w:tc>
          <w:tcPr>
            <w:tcW w:w="156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行政拘留</w:t>
            </w:r>
          </w:p>
        </w:tc>
        <w:tc>
          <w:tcPr>
            <w:tcW w:w="13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其他行政处罚</w:t>
            </w:r>
          </w:p>
        </w:tc>
        <w:tc>
          <w:tcPr>
            <w:tcW w:w="14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sz w:val="21"/>
                <w:szCs w:val="21"/>
              </w:rPr>
            </w:pPr>
            <w:r>
              <w:rPr>
                <w:rFonts w:hint="eastAsia" w:ascii="Times New Roman" w:hAnsi="Times New Roman" w:eastAsia="CESI黑体-GB2312" w:cs="CESI黑体-GB2312"/>
                <w:sz w:val="21"/>
                <w:szCs w:val="21"/>
              </w:rPr>
              <w:t>合计</w:t>
            </w:r>
          </w:p>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（宗）</w:t>
            </w:r>
          </w:p>
        </w:tc>
        <w:tc>
          <w:tcPr>
            <w:tcW w:w="14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罚没金额（万元）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vMerge w:val="restart"/>
            <w:tcBorders>
              <w:top w:val="single" w:color="auto" w:sz="6"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r>
              <w:rPr>
                <w:rFonts w:hint="eastAsia" w:ascii="仿宋_GB2312" w:hAnsi="仿宋_GB2312" w:eastAsia="仿宋_GB2312" w:cs="仿宋_GB2312"/>
                <w:b/>
                <w:bCs/>
                <w:sz w:val="21"/>
                <w:szCs w:val="21"/>
                <w:lang w:val="en-US" w:eastAsia="zh-CN"/>
              </w:rPr>
              <w:t>区林业局</w:t>
            </w:r>
          </w:p>
        </w:tc>
        <w:tc>
          <w:tcPr>
            <w:tcW w:w="1559" w:type="dxa"/>
            <w:tcBorders>
              <w:top w:val="single" w:color="auto" w:sz="6" w:space="0"/>
              <w:bottom w:val="single" w:color="auto" w:sz="6"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22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0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40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56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3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4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仿宋-GB2312" w:cs="CESI仿宋-GB2312"/>
                <w:sz w:val="21"/>
                <w:szCs w:val="21"/>
                <w:lang w:val="en-US" w:eastAsia="zh-CN"/>
              </w:rPr>
            </w:pPr>
            <w:r>
              <w:rPr>
                <w:rFonts w:hint="eastAsia" w:ascii="Times New Roman" w:hAnsi="Times New Roman" w:eastAsia="CESI仿宋-GB2312" w:cs="CESI仿宋-GB2312"/>
                <w:sz w:val="21"/>
                <w:szCs w:val="21"/>
                <w:lang w:val="en-US" w:eastAsia="zh-CN"/>
              </w:rPr>
              <w:t>80</w:t>
            </w:r>
          </w:p>
        </w:tc>
        <w:tc>
          <w:tcPr>
            <w:tcW w:w="14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仿宋-GB2312" w:cs="CESI仿宋-GB2312"/>
                <w:sz w:val="21"/>
                <w:szCs w:val="21"/>
                <w:lang w:val="en-US" w:eastAsia="zh-CN"/>
              </w:rPr>
            </w:pPr>
            <w:r>
              <w:rPr>
                <w:rFonts w:hint="eastAsia" w:ascii="Times New Roman" w:hAnsi="Times New Roman" w:eastAsia="CESI仿宋-GB2312" w:cs="CESI仿宋-GB2312"/>
                <w:sz w:val="21"/>
                <w:szCs w:val="21"/>
                <w:lang w:val="en-US" w:eastAsia="zh-CN"/>
              </w:rPr>
              <w:t>112.83693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vMerge w:val="continue"/>
            <w:tcBorders>
              <w:bottom w:val="single" w:color="auto" w:sz="12"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p>
        </w:tc>
        <w:tc>
          <w:tcPr>
            <w:tcW w:w="1559" w:type="dxa"/>
            <w:tcBorders>
              <w:top w:val="single" w:color="auto" w:sz="6" w:space="0"/>
              <w:bottom w:val="single" w:color="auto" w:sz="12"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22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0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40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56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3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p>
        </w:tc>
        <w:tc>
          <w:tcPr>
            <w:tcW w:w="14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lang w:val="en-US" w:eastAsia="zh-CN"/>
              </w:rPr>
            </w:pPr>
            <w:r>
              <w:rPr>
                <w:rFonts w:hint="eastAsia" w:ascii="Times New Roman" w:hAnsi="Times New Roman" w:eastAsia="CESI仿宋-GB2312" w:cs="CESI仿宋-GB2312"/>
                <w:sz w:val="21"/>
                <w:szCs w:val="21"/>
                <w:lang w:val="en-US" w:eastAsia="zh-CN"/>
              </w:rPr>
              <w:t>5</w:t>
            </w:r>
          </w:p>
        </w:tc>
        <w:tc>
          <w:tcPr>
            <w:tcW w:w="148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仿宋-GB2312" w:cs="CESI仿宋-GB2312"/>
                <w:sz w:val="21"/>
                <w:szCs w:val="21"/>
                <w:lang w:val="en-US" w:eastAsia="zh-CN"/>
              </w:rPr>
            </w:pPr>
            <w:r>
              <w:rPr>
                <w:rFonts w:hint="eastAsia" w:ascii="Times New Roman" w:hAnsi="Times New Roman" w:eastAsia="CESI仿宋-GB2312" w:cs="CESI仿宋-GB2312"/>
                <w:sz w:val="21"/>
                <w:szCs w:val="21"/>
                <w:lang w:val="en-US" w:eastAsia="zh-CN"/>
              </w:rPr>
              <w:t>99.7448</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642" w:firstLineChars="200"/>
        <w:jc w:val="both"/>
        <w:textAlignment w:val="auto"/>
        <w:rPr>
          <w:rFonts w:hint="eastAsia" w:ascii="Times New Roman" w:hAnsi="Times New Roman" w:eastAsia="仿宋_GB2312" w:cs="CESI仿宋-GB2312"/>
          <w:b/>
          <w:bCs/>
          <w:sz w:val="32"/>
          <w:szCs w:val="32"/>
          <w:lang w:val="en-US" w:eastAsia="zh-CN"/>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1.行政处罚实施数量的统计范围为统计年度1月1日至12月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作出行政处罚决定的数量。2.单处一个类别行政处罚的，计入相应的行政处罚类别；并处两种以上行政处罚的，算一宗行政处罚，计入表格排序在后的行政处罚类别。如“没收违法所得，并处罚款”，计入“没收违法所得”类别；并处明确类别的行政处罚和其他行政处罚的，计入明确类别的行政处罚，如“处罚款，并处其他行政处罚”，计入“罚款”类别。行政处罚类别表格排序：（1）警告；（2）通报批评；（3）罚款；（4）没收违法所得；（5）没收非法财物；（6）暂扣许可证件；（7）降低资质等级；（8）吊销许可证件；（9）限制开展生产经营活动；（10）责令停产停业；（11）责令关闭；（12）限制从业；（13）行政拘留；（14）其他行政处罚。3.“没收非法财物”能通过评估、拍卖等手段确定金额的，计入“罚没金额”；不能确定金额的，不计入“罚没金额”。4.“罚没金额”以处罚决定书确定的金额为准</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bCs/>
          <w:sz w:val="32"/>
          <w:szCs w:val="32"/>
          <w:lang w:eastAsia="zh-CN"/>
        </w:rPr>
        <w:t>涉企案件填入第二行、第四行单独分行统计。</w:t>
      </w:r>
    </w:p>
    <w:p>
      <w:pPr>
        <w:pStyle w:val="3"/>
        <w:keepNext w:val="0"/>
        <w:keepLines w:val="0"/>
        <w:pageBreakBefore w:val="0"/>
        <w:widowControl/>
        <w:kinsoku/>
        <w:overflowPunct/>
        <w:topLinePunct w:val="0"/>
        <w:autoSpaceDE/>
        <w:autoSpaceDN/>
        <w:bidi w:val="0"/>
        <w:spacing w:before="0" w:beforeAutospacing="0" w:after="0" w:afterAutospacing="0" w:line="368" w:lineRule="atLeast"/>
        <w:ind w:firstLine="640"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（二）</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年行政许可实施情况统计表</w:t>
      </w:r>
    </w:p>
    <w:tbl>
      <w:tblPr>
        <w:tblStyle w:val="4"/>
        <w:tblW w:w="114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167"/>
        <w:gridCol w:w="1456"/>
        <w:gridCol w:w="1626"/>
        <w:gridCol w:w="1651"/>
        <w:gridCol w:w="1894"/>
        <w:gridCol w:w="1776"/>
        <w:gridCol w:w="18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44" w:hRule="atLeast"/>
          <w:jc w:val="center"/>
        </w:trPr>
        <w:tc>
          <w:tcPr>
            <w:tcW w:w="11420" w:type="dxa"/>
            <w:gridSpan w:val="7"/>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firstLine="480" w:firstLineChars="200"/>
              <w:jc w:val="center"/>
              <w:textAlignment w:val="auto"/>
              <w:rPr>
                <w:rStyle w:val="7"/>
                <w:rFonts w:hint="eastAsia" w:ascii="Times New Roman" w:hAnsi="Times New Roman" w:eastAsia="CESI黑体-GB2312" w:cs="CESI黑体-GB2312"/>
                <w:b w:val="0"/>
                <w:bCs/>
                <w:szCs w:val="24"/>
              </w:rPr>
            </w:pPr>
            <w:r>
              <w:rPr>
                <w:rStyle w:val="7"/>
                <w:rFonts w:hint="eastAsia" w:ascii="Times New Roman" w:hAnsi="Times New Roman" w:eastAsia="CESI黑体-GB2312" w:cs="CESI黑体-GB2312"/>
                <w:b w:val="0"/>
                <w:bCs/>
                <w:szCs w:val="24"/>
              </w:rPr>
              <w:t>行政许可实施数量（宗）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938" w:hRule="atLeast"/>
          <w:jc w:val="center"/>
        </w:trPr>
        <w:tc>
          <w:tcPr>
            <w:tcW w:w="1167"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default"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单位</w:t>
            </w:r>
            <w:r>
              <w:rPr>
                <w:rStyle w:val="7"/>
                <w:rFonts w:hint="default" w:ascii="Times New Roman" w:hAnsi="Times New Roman" w:eastAsia="CESI黑体-GB2312" w:cs="CESI黑体-GB2312"/>
                <w:b w:val="0"/>
                <w:bCs/>
                <w:szCs w:val="24"/>
              </w:rPr>
              <w:t>名称</w:t>
            </w:r>
          </w:p>
        </w:tc>
        <w:tc>
          <w:tcPr>
            <w:tcW w:w="145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申请数量</w:t>
            </w:r>
          </w:p>
        </w:tc>
        <w:tc>
          <w:tcPr>
            <w:tcW w:w="162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受理数量</w:t>
            </w:r>
          </w:p>
        </w:tc>
        <w:tc>
          <w:tcPr>
            <w:tcW w:w="165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许可数量</w:t>
            </w:r>
          </w:p>
        </w:tc>
        <w:tc>
          <w:tcPr>
            <w:tcW w:w="189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Style w:val="7"/>
                <w:rFonts w:hint="eastAsia" w:ascii="Times New Roman" w:hAnsi="Times New Roman" w:eastAsia="CESI黑体-GB2312" w:cs="CESI黑体-GB2312"/>
                <w:b w:val="0"/>
                <w:bCs/>
                <w:szCs w:val="24"/>
              </w:rPr>
            </w:pPr>
            <w:r>
              <w:rPr>
                <w:rStyle w:val="7"/>
                <w:rFonts w:hint="eastAsia" w:ascii="Times New Roman" w:hAnsi="Times New Roman" w:eastAsia="CESI黑体-GB2312" w:cs="CESI黑体-GB2312"/>
                <w:b w:val="0"/>
                <w:bCs/>
                <w:szCs w:val="24"/>
              </w:rPr>
              <w:t>不予许可</w:t>
            </w:r>
          </w:p>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数量</w:t>
            </w:r>
          </w:p>
        </w:tc>
        <w:tc>
          <w:tcPr>
            <w:tcW w:w="177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Style w:val="7"/>
                <w:rFonts w:hint="eastAsia" w:ascii="Times New Roman" w:hAnsi="Times New Roman" w:eastAsia="CESI黑体-GB2312" w:cs="CESI黑体-GB2312"/>
                <w:b w:val="0"/>
                <w:bCs/>
                <w:szCs w:val="24"/>
              </w:rPr>
            </w:pPr>
            <w:r>
              <w:rPr>
                <w:rStyle w:val="7"/>
                <w:rFonts w:hint="eastAsia" w:ascii="Times New Roman" w:hAnsi="Times New Roman" w:eastAsia="CESI黑体-GB2312" w:cs="CESI黑体-GB2312"/>
                <w:b w:val="0"/>
                <w:bCs/>
                <w:szCs w:val="24"/>
              </w:rPr>
              <w:t>撤销许可</w:t>
            </w:r>
          </w:p>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数量</w:t>
            </w:r>
          </w:p>
        </w:tc>
        <w:tc>
          <w:tcPr>
            <w:tcW w:w="185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Style w:val="7"/>
                <w:rFonts w:hint="eastAsia" w:ascii="Times New Roman" w:hAnsi="Times New Roman" w:eastAsia="CESI黑体-GB2312" w:cs="CESI黑体-GB2312"/>
                <w:b w:val="0"/>
                <w:bCs/>
                <w:szCs w:val="24"/>
                <w:lang w:eastAsia="zh-CN"/>
              </w:rPr>
            </w:pPr>
            <w:r>
              <w:rPr>
                <w:rStyle w:val="7"/>
                <w:rFonts w:hint="eastAsia" w:ascii="Times New Roman" w:hAnsi="Times New Roman" w:eastAsia="CESI黑体-GB2312" w:cs="CESI黑体-GB2312"/>
                <w:b w:val="0"/>
                <w:bCs/>
                <w:szCs w:val="24"/>
                <w:lang w:eastAsia="zh-CN"/>
              </w:rPr>
              <w:t>其他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54" w:hRule="atLeast"/>
          <w:jc w:val="center"/>
        </w:trPr>
        <w:tc>
          <w:tcPr>
            <w:tcW w:w="1167" w:type="dxa"/>
            <w:vMerge w:val="restart"/>
            <w:noWrap/>
            <w:tcMar>
              <w:top w:w="0" w:type="dxa"/>
              <w:left w:w="84" w:type="dxa"/>
              <w:bottom w:w="0" w:type="dxa"/>
              <w:right w:w="84" w:type="dxa"/>
            </w:tcMar>
            <w:vAlign w:val="center"/>
          </w:tcPr>
          <w:p>
            <w:pPr>
              <w:keepNext w:val="0"/>
              <w:keepLines w:val="0"/>
              <w:pageBreakBefore w:val="0"/>
              <w:widowControl/>
              <w:kinsoku/>
              <w:overflowPunct/>
              <w:topLinePunct w:val="0"/>
              <w:autoSpaceDE/>
              <w:autoSpaceDN/>
              <w:bidi w:val="0"/>
              <w:spacing w:before="0" w:beforeAutospacing="0" w:after="0" w:afterAutospacing="0" w:line="400" w:lineRule="exact"/>
              <w:ind w:left="0" w:leftChars="0" w:firstLine="0" w:firstLineChars="0"/>
              <w:jc w:val="center"/>
              <w:textAlignment w:val="auto"/>
              <w:rPr>
                <w:rFonts w:hint="eastAsia" w:ascii="Times New Roman" w:hAnsi="Times New Roman" w:eastAsia="CESI仿宋-GB2312" w:cs="CESI仿宋-GB2312"/>
                <w:kern w:val="0"/>
                <w:sz w:val="24"/>
                <w:szCs w:val="24"/>
                <w:lang w:val="en-US" w:eastAsia="zh-CN" w:bidi="ar-SA"/>
              </w:rPr>
            </w:pPr>
            <w:r>
              <w:rPr>
                <w:rFonts w:hint="eastAsia" w:ascii="仿宋_GB2312" w:hAnsi="仿宋_GB2312" w:eastAsia="仿宋_GB2312" w:cs="仿宋_GB2312"/>
                <w:b/>
                <w:bCs/>
                <w:sz w:val="21"/>
                <w:szCs w:val="21"/>
                <w:lang w:val="en-US" w:eastAsia="zh-CN"/>
              </w:rPr>
              <w:t>区林业局</w:t>
            </w:r>
          </w:p>
        </w:tc>
        <w:tc>
          <w:tcPr>
            <w:tcW w:w="145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default"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437</w:t>
            </w:r>
          </w:p>
        </w:tc>
        <w:tc>
          <w:tcPr>
            <w:tcW w:w="162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default"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437</w:t>
            </w:r>
          </w:p>
        </w:tc>
        <w:tc>
          <w:tcPr>
            <w:tcW w:w="165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default"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437</w:t>
            </w:r>
          </w:p>
        </w:tc>
        <w:tc>
          <w:tcPr>
            <w:tcW w:w="189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0</w:t>
            </w:r>
          </w:p>
        </w:tc>
        <w:tc>
          <w:tcPr>
            <w:tcW w:w="177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0</w:t>
            </w:r>
          </w:p>
        </w:tc>
        <w:tc>
          <w:tcPr>
            <w:tcW w:w="185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39" w:hRule="atLeast"/>
          <w:jc w:val="center"/>
        </w:trPr>
        <w:tc>
          <w:tcPr>
            <w:tcW w:w="1167" w:type="dxa"/>
            <w:vMerge w:val="continue"/>
            <w:tcBorders>
              <w:bottom w:val="single" w:color="auto" w:sz="4" w:space="0"/>
            </w:tcBorders>
            <w:noWrap/>
            <w:tcMar>
              <w:top w:w="0" w:type="dxa"/>
              <w:left w:w="84" w:type="dxa"/>
              <w:bottom w:w="0" w:type="dxa"/>
              <w:right w:w="84" w:type="dxa"/>
            </w:tcMar>
            <w:vAlign w:val="center"/>
          </w:tcPr>
          <w:p>
            <w:pPr>
              <w:keepNext w:val="0"/>
              <w:keepLines w:val="0"/>
              <w:pageBreakBefore w:val="0"/>
              <w:widowControl/>
              <w:kinsoku/>
              <w:overflowPunct/>
              <w:topLinePunct w:val="0"/>
              <w:autoSpaceDE/>
              <w:autoSpaceDN/>
              <w:bidi w:val="0"/>
              <w:spacing w:before="0" w:beforeAutospacing="0" w:after="0" w:afterAutospacing="0" w:line="400" w:lineRule="exact"/>
              <w:ind w:left="0" w:leftChars="0" w:firstLine="0" w:firstLineChars="0"/>
              <w:jc w:val="center"/>
              <w:textAlignment w:val="auto"/>
              <w:rPr>
                <w:rFonts w:hint="eastAsia" w:ascii="Times New Roman" w:hAnsi="Times New Roman" w:eastAsia="CESI仿宋-GB2312" w:cs="CESI仿宋-GB2312"/>
                <w:kern w:val="0"/>
                <w:sz w:val="24"/>
                <w:szCs w:val="24"/>
                <w:lang w:val="en-US" w:eastAsia="zh-CN" w:bidi="ar-SA"/>
              </w:rPr>
            </w:pPr>
          </w:p>
        </w:tc>
        <w:tc>
          <w:tcPr>
            <w:tcW w:w="1456"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default"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2</w:t>
            </w:r>
          </w:p>
        </w:tc>
        <w:tc>
          <w:tcPr>
            <w:tcW w:w="1626"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2</w:t>
            </w:r>
          </w:p>
        </w:tc>
        <w:tc>
          <w:tcPr>
            <w:tcW w:w="1651"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2</w:t>
            </w:r>
          </w:p>
        </w:tc>
        <w:tc>
          <w:tcPr>
            <w:tcW w:w="1894"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0</w:t>
            </w:r>
          </w:p>
        </w:tc>
        <w:tc>
          <w:tcPr>
            <w:tcW w:w="1776"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0</w:t>
            </w:r>
          </w:p>
        </w:tc>
        <w:tc>
          <w:tcPr>
            <w:tcW w:w="185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val="en-US" w:eastAsia="zh-CN"/>
              </w:rPr>
            </w:pPr>
            <w:r>
              <w:rPr>
                <w:rFonts w:hint="eastAsia" w:ascii="Times New Roman" w:hAnsi="Times New Roman" w:eastAsia="CESI仿宋-GB2312" w:cs="CESI仿宋-GB2312"/>
                <w:sz w:val="16"/>
                <w:szCs w:val="16"/>
                <w:lang w:val="en-US" w:eastAsia="zh-CN"/>
              </w:rPr>
              <w:t>0</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hint="eastAsia" w:ascii="Times New Roman" w:hAnsi="Times New Roman" w:eastAsia="CESI仿宋-GB2312" w:cs="CESI仿宋-GB2312"/>
          <w:sz w:val="32"/>
          <w:szCs w:val="32"/>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1.“申请数量”的统计范围为统计年度1月1日至12月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期间许可机关收到当事人许可申请的数量。2.“受理数量”、“许可数量”、“不予许可数量”、“撤销许可数量”的统计范围为统计年度1月1日至12月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期间许可机关作出受理决定、许可决定、不予许可决定和撤销许可决定的数量。</w:t>
      </w:r>
      <w:r>
        <w:rPr>
          <w:rFonts w:hint="eastAsia" w:ascii="Times New Roman" w:hAnsi="Times New Roman" w:eastAsia="仿宋_GB2312" w:cs="仿宋_GB2312"/>
          <w:b/>
          <w:bCs/>
          <w:sz w:val="32"/>
          <w:szCs w:val="32"/>
          <w:lang w:eastAsia="zh-CN"/>
        </w:rPr>
        <w:t>涉企案件填入第二行单独分行统计。</w:t>
      </w:r>
    </w:p>
    <w:p>
      <w:pPr>
        <w:pStyle w:val="3"/>
        <w:keepNext w:val="0"/>
        <w:keepLines w:val="0"/>
        <w:pageBreakBefore w:val="0"/>
        <w:widowControl/>
        <w:kinsoku/>
        <w:overflowPunct/>
        <w:topLinePunct w:val="0"/>
        <w:autoSpaceDE/>
        <w:autoSpaceDN/>
        <w:bidi w:val="0"/>
        <w:spacing w:before="0" w:beforeAutospacing="0" w:after="0" w:afterAutospacing="0" w:line="368" w:lineRule="atLeast"/>
        <w:ind w:firstLine="640"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（三）</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年行政强制实施情况统计表</w:t>
      </w:r>
      <w:r>
        <w:rPr>
          <w:rStyle w:val="7"/>
          <w:rFonts w:hint="eastAsia" w:ascii="Times New Roman" w:hAnsi="Times New Roman" w:eastAsia="CESI楷体-GB2312" w:cs="CESI楷体-GB2312"/>
          <w:b w:val="0"/>
          <w:bCs w:val="0"/>
          <w:sz w:val="16"/>
          <w:szCs w:val="16"/>
        </w:rPr>
        <w:t> </w:t>
      </w:r>
    </w:p>
    <w:tbl>
      <w:tblPr>
        <w:tblStyle w:val="4"/>
        <w:tblW w:w="146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069"/>
        <w:gridCol w:w="1090"/>
        <w:gridCol w:w="938"/>
        <w:gridCol w:w="1000"/>
        <w:gridCol w:w="936"/>
        <w:gridCol w:w="766"/>
        <w:gridCol w:w="890"/>
        <w:gridCol w:w="1170"/>
        <w:gridCol w:w="1220"/>
        <w:gridCol w:w="1118"/>
        <w:gridCol w:w="1042"/>
        <w:gridCol w:w="980"/>
        <w:gridCol w:w="1190"/>
        <w:gridCol w:w="121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09" w:hRule="atLeast"/>
          <w:jc w:val="center"/>
        </w:trPr>
        <w:tc>
          <w:tcPr>
            <w:tcW w:w="1069" w:type="dxa"/>
            <w:vMerge w:val="restart"/>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4730" w:type="dxa"/>
            <w:gridSpan w:val="5"/>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行政强制措施数量（宗）</w:t>
            </w:r>
          </w:p>
        </w:tc>
        <w:tc>
          <w:tcPr>
            <w:tcW w:w="8821" w:type="dxa"/>
            <w:gridSpan w:val="8"/>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行政强制执行数量（宗）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59" w:hRule="atLeast"/>
          <w:jc w:val="center"/>
        </w:trPr>
        <w:tc>
          <w:tcPr>
            <w:tcW w:w="1069" w:type="dxa"/>
            <w:vMerge w:val="continue"/>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p>
        </w:tc>
        <w:tc>
          <w:tcPr>
            <w:tcW w:w="10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查封场所、设施或者财物</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p>
        </w:tc>
        <w:tc>
          <w:tcPr>
            <w:tcW w:w="938"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扣押财物</w:t>
            </w:r>
          </w:p>
        </w:tc>
        <w:tc>
          <w:tcPr>
            <w:tcW w:w="100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冻结存款、汇款</w:t>
            </w:r>
          </w:p>
        </w:tc>
        <w:tc>
          <w:tcPr>
            <w:tcW w:w="936" w:type="dxa"/>
            <w:tcBorders>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其他行政强制措施</w:t>
            </w:r>
          </w:p>
        </w:tc>
        <w:tc>
          <w:tcPr>
            <w:tcW w:w="766" w:type="dxa"/>
            <w:tcBorders>
              <w:lef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bCs/>
                <w:sz w:val="21"/>
                <w:szCs w:val="21"/>
                <w:lang w:eastAsia="zh-CN"/>
              </w:rPr>
            </w:pPr>
            <w:r>
              <w:rPr>
                <w:rStyle w:val="7"/>
                <w:rFonts w:hint="eastAsia" w:ascii="Times New Roman" w:hAnsi="Times New Roman" w:eastAsia="CESI黑体-GB2312" w:cs="CESI黑体-GB2312"/>
                <w:b w:val="0"/>
                <w:bCs/>
                <w:sz w:val="21"/>
                <w:szCs w:val="21"/>
                <w:lang w:eastAsia="zh-CN"/>
              </w:rPr>
              <w:t>合计（宗）</w:t>
            </w:r>
          </w:p>
        </w:tc>
        <w:tc>
          <w:tcPr>
            <w:tcW w:w="8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加处罚款或者滞纳金</w:t>
            </w:r>
          </w:p>
        </w:tc>
        <w:tc>
          <w:tcPr>
            <w:tcW w:w="117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划拨存款、汇款</w:t>
            </w:r>
          </w:p>
        </w:tc>
        <w:tc>
          <w:tcPr>
            <w:tcW w:w="122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拍卖或者依法处理查封、扣押的场所、设施或者财物</w:t>
            </w:r>
          </w:p>
        </w:tc>
        <w:tc>
          <w:tcPr>
            <w:tcW w:w="1118"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排除妨碍、恢复原状</w:t>
            </w:r>
          </w:p>
        </w:tc>
        <w:tc>
          <w:tcPr>
            <w:tcW w:w="1042"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代履行</w:t>
            </w:r>
          </w:p>
        </w:tc>
        <w:tc>
          <w:tcPr>
            <w:tcW w:w="98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其他强制执行</w:t>
            </w:r>
          </w:p>
        </w:tc>
        <w:tc>
          <w:tcPr>
            <w:tcW w:w="1190"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bCs/>
                <w:sz w:val="21"/>
                <w:szCs w:val="21"/>
              </w:rPr>
            </w:pPr>
            <w:r>
              <w:rPr>
                <w:rStyle w:val="7"/>
                <w:rFonts w:hint="eastAsia" w:ascii="Times New Roman" w:hAnsi="Times New Roman" w:eastAsia="CESI黑体-GB2312" w:cs="CESI黑体-GB2312"/>
                <w:b w:val="0"/>
                <w:bCs/>
                <w:sz w:val="21"/>
                <w:szCs w:val="21"/>
              </w:rPr>
              <w:t>申请法院强制执行</w:t>
            </w:r>
          </w:p>
        </w:tc>
        <w:tc>
          <w:tcPr>
            <w:tcW w:w="1211" w:type="dxa"/>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合计</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bCs/>
                <w:sz w:val="21"/>
                <w:szCs w:val="21"/>
              </w:rPr>
            </w:pPr>
            <w:r>
              <w:rPr>
                <w:rStyle w:val="7"/>
                <w:rFonts w:hint="eastAsia" w:ascii="Times New Roman" w:hAnsi="Times New Roman" w:eastAsia="CESI黑体-GB2312" w:cs="CESI黑体-GB2312"/>
                <w:b w:val="0"/>
                <w:bCs/>
                <w:sz w:val="21"/>
                <w:szCs w:val="21"/>
              </w:rPr>
              <w:t>（宗）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69" w:hRule="atLeast"/>
          <w:jc w:val="center"/>
        </w:trPr>
        <w:tc>
          <w:tcPr>
            <w:tcW w:w="1069" w:type="dxa"/>
            <w:vMerge w:val="restart"/>
            <w:noWrap/>
            <w:tcMar>
              <w:top w:w="0" w:type="dxa"/>
              <w:left w:w="84" w:type="dxa"/>
              <w:bottom w:w="0" w:type="dxa"/>
              <w:right w:w="84" w:type="dxa"/>
            </w:tcMar>
            <w:vAlign w:val="center"/>
          </w:tcPr>
          <w:p>
            <w:pPr>
              <w:keepNext w:val="0"/>
              <w:keepLines w:val="0"/>
              <w:pageBreakBefore w:val="0"/>
              <w:widowControl/>
              <w:kinsoku/>
              <w:overflowPunct/>
              <w:topLinePunct w:val="0"/>
              <w:autoSpaceDE/>
              <w:autoSpaceDN/>
              <w:bidi w:val="0"/>
              <w:spacing w:before="0" w:beforeAutospacing="0" w:after="0" w:afterAutospacing="0" w:line="400" w:lineRule="exact"/>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r>
              <w:rPr>
                <w:rFonts w:hint="eastAsia" w:ascii="仿宋_GB2312" w:hAnsi="仿宋_GB2312" w:eastAsia="仿宋_GB2312" w:cs="仿宋_GB2312"/>
                <w:b/>
                <w:bCs/>
                <w:sz w:val="21"/>
                <w:szCs w:val="21"/>
                <w:lang w:val="en-US" w:eastAsia="zh-CN"/>
              </w:rPr>
              <w:t>区林业局</w:t>
            </w:r>
          </w:p>
        </w:tc>
        <w:tc>
          <w:tcPr>
            <w:tcW w:w="109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93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00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936" w:type="dxa"/>
            <w:tcBorders>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766" w:type="dxa"/>
            <w:tcBorders>
              <w:left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89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17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22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11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04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98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19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21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69" w:hRule="atLeast"/>
          <w:jc w:val="center"/>
        </w:trPr>
        <w:tc>
          <w:tcPr>
            <w:tcW w:w="1069" w:type="dxa"/>
            <w:vMerge w:val="continue"/>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kern w:val="0"/>
                <w:sz w:val="21"/>
                <w:szCs w:val="21"/>
                <w:lang w:val="en-US" w:eastAsia="zh-CN" w:bidi="ar-SA"/>
              </w:rPr>
            </w:pPr>
          </w:p>
        </w:tc>
        <w:tc>
          <w:tcPr>
            <w:tcW w:w="109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938"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00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936" w:type="dxa"/>
            <w:tcBorders>
              <w:bottom w:val="single" w:color="auto" w:sz="4" w:space="0"/>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766" w:type="dxa"/>
            <w:tcBorders>
              <w:left w:val="single" w:color="auto" w:sz="4" w:space="0"/>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89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17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22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118"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042"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98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190"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bCs/>
                <w:sz w:val="21"/>
                <w:szCs w:val="21"/>
              </w:rPr>
            </w:pPr>
          </w:p>
        </w:tc>
        <w:tc>
          <w:tcPr>
            <w:tcW w:w="1211"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1.“行政强制措施实施数量”的统计范围为统计年度1月1日至12月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期间作出的表格所列各类行政强制措施决定的数量。2.“行政强制执行实施数量” 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期间表格所列各类行政强制执行完毕或者终结执行的数量。3.“申请法院强制执行”数量的统计范围为统计年度1月1日至12月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期间向法院申请强制执行的数量，时间以申请日期为准。</w:t>
      </w:r>
      <w:r>
        <w:rPr>
          <w:rFonts w:hint="eastAsia" w:ascii="Times New Roman" w:hAnsi="Times New Roman" w:eastAsia="仿宋_GB2312" w:cs="仿宋_GB2312"/>
          <w:b/>
          <w:bCs/>
          <w:sz w:val="32"/>
          <w:szCs w:val="32"/>
          <w:lang w:eastAsia="zh-CN"/>
        </w:rPr>
        <w:t>涉企案件填入第二行单独分行统计。</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640"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四</w:t>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w:t>
      </w:r>
      <w:r>
        <w:rPr>
          <w:rFonts w:hint="eastAsia" w:ascii="Times New Roman" w:hAnsi="Times New Roman" w:eastAsia="CESI楷体-GB2312" w:cs="CESI楷体-GB2312"/>
          <w:b w:val="0"/>
          <w:bCs w:val="0"/>
          <w:sz w:val="32"/>
          <w:szCs w:val="32"/>
          <w:lang w:eastAsia="zh-CN"/>
        </w:rPr>
        <w:t>检查实施</w:t>
      </w:r>
      <w:r>
        <w:rPr>
          <w:rFonts w:hint="eastAsia" w:ascii="Times New Roman" w:hAnsi="Times New Roman" w:eastAsia="CESI楷体-GB2312" w:cs="CESI楷体-GB2312"/>
          <w:b w:val="0"/>
          <w:bCs w:val="0"/>
          <w:sz w:val="32"/>
          <w:szCs w:val="32"/>
        </w:rPr>
        <w:t>情况统计表</w:t>
      </w:r>
      <w:r>
        <w:rPr>
          <w:rStyle w:val="7"/>
          <w:rFonts w:hint="eastAsia" w:ascii="Times New Roman" w:hAnsi="Times New Roman" w:eastAsia="CESI楷体-GB2312" w:cs="CESI楷体-GB2312"/>
          <w:b w:val="0"/>
          <w:bCs w:val="0"/>
          <w:sz w:val="16"/>
          <w:szCs w:val="16"/>
        </w:rPr>
        <w:t> </w:t>
      </w:r>
    </w:p>
    <w:tbl>
      <w:tblPr>
        <w:tblStyle w:val="4"/>
        <w:tblW w:w="129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219"/>
        <w:gridCol w:w="1302"/>
        <w:gridCol w:w="1092"/>
        <w:gridCol w:w="1123"/>
        <w:gridCol w:w="1222"/>
        <w:gridCol w:w="1263"/>
        <w:gridCol w:w="1112"/>
        <w:gridCol w:w="1132"/>
        <w:gridCol w:w="1109"/>
        <w:gridCol w:w="23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00" w:hRule="atLeast"/>
        </w:trPr>
        <w:tc>
          <w:tcPr>
            <w:tcW w:w="1219" w:type="dxa"/>
            <w:vMerge w:val="restart"/>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val="en-US" w:eastAsia="zh-CN"/>
              </w:rPr>
            </w:pPr>
            <w:r>
              <w:rPr>
                <w:rStyle w:val="7"/>
                <w:rFonts w:hint="eastAsia" w:ascii="Times New Roman" w:hAnsi="Times New Roman" w:eastAsia="CESI黑体-GB2312" w:cs="CESI黑体-GB2312"/>
                <w:b w:val="0"/>
                <w:bCs/>
                <w:sz w:val="21"/>
                <w:szCs w:val="21"/>
              </w:rPr>
              <w:t>单位</w:t>
            </w:r>
            <w:r>
              <w:rPr>
                <w:rStyle w:val="7"/>
                <w:rFonts w:hint="eastAsia" w:ascii="Times New Roman" w:hAnsi="Times New Roman" w:eastAsia="CESI黑体-GB2312" w:cs="CESI黑体-GB2312"/>
                <w:b w:val="0"/>
                <w:bCs/>
                <w:sz w:val="21"/>
                <w:szCs w:val="21"/>
                <w:lang w:val="en-US" w:eastAsia="zh-CN"/>
              </w:rPr>
              <w:t xml:space="preserve"> </w:t>
            </w:r>
          </w:p>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default" w:ascii="Times New Roman" w:hAnsi="Times New Roman" w:eastAsia="CESI黑体-GB2312" w:cs="CESI黑体-GB2312"/>
                <w:b w:val="0"/>
                <w:bCs/>
                <w:sz w:val="21"/>
                <w:szCs w:val="21"/>
              </w:rPr>
              <w:t>名称</w:t>
            </w:r>
          </w:p>
        </w:tc>
        <w:tc>
          <w:tcPr>
            <w:tcW w:w="1302" w:type="dxa"/>
            <w:vMerge w:val="restart"/>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行政检查计划（次）</w:t>
            </w:r>
          </w:p>
        </w:tc>
        <w:tc>
          <w:tcPr>
            <w:tcW w:w="1092" w:type="dxa"/>
            <w:vMerge w:val="restart"/>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r>
              <w:rPr>
                <w:rStyle w:val="7"/>
                <w:rFonts w:hint="eastAsia" w:ascii="Times New Roman" w:hAnsi="Times New Roman" w:eastAsia="CESI黑体-GB2312" w:cs="CESI黑体-GB2312"/>
                <w:b w:val="0"/>
                <w:bCs/>
                <w:sz w:val="21"/>
                <w:szCs w:val="21"/>
                <w:lang w:eastAsia="zh-CN"/>
              </w:rPr>
              <w:t>行政检查</w:t>
            </w:r>
          </w:p>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实施（次）</w:t>
            </w:r>
          </w:p>
        </w:tc>
        <w:tc>
          <w:tcPr>
            <w:tcW w:w="9343" w:type="dxa"/>
            <w:gridSpan w:val="7"/>
            <w:tcBorders>
              <w:top w:val="single" w:color="auto" w:sz="12" w:space="0"/>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Fonts w:hint="eastAsia" w:ascii="Times New Roman" w:hAnsi="Times New Roman" w:eastAsia="CESI黑体-GB2312" w:cs="CESI黑体-GB2312"/>
                <w:bCs/>
                <w:sz w:val="21"/>
                <w:szCs w:val="21"/>
                <w:lang w:eastAsia="zh-CN"/>
              </w:rPr>
              <w:t>涉企行政执法检查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38" w:hRule="atLeast"/>
        </w:trPr>
        <w:tc>
          <w:tcPr>
            <w:tcW w:w="1219" w:type="dxa"/>
            <w:vMerge w:val="continue"/>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default" w:ascii="Times New Roman" w:hAnsi="Times New Roman" w:eastAsia="CESI黑体-GB2312" w:cs="CESI黑体-GB2312"/>
                <w:b w:val="0"/>
                <w:bCs/>
                <w:sz w:val="21"/>
                <w:szCs w:val="21"/>
              </w:rPr>
            </w:pPr>
          </w:p>
        </w:tc>
        <w:tc>
          <w:tcPr>
            <w:tcW w:w="1302" w:type="dxa"/>
            <w:vMerge w:val="continue"/>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1092" w:type="dxa"/>
            <w:vMerge w:val="continue"/>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1123" w:type="dxa"/>
            <w:tcBorders>
              <w:top w:val="single" w:color="auto" w:sz="4" w:space="0"/>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双随机一公开（次）</w:t>
            </w:r>
          </w:p>
        </w:tc>
        <w:tc>
          <w:tcPr>
            <w:tcW w:w="1222"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非现场检查（次）</w:t>
            </w:r>
          </w:p>
        </w:tc>
        <w:tc>
          <w:tcPr>
            <w:tcW w:w="1263"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综合查一次（次）</w:t>
            </w:r>
          </w:p>
        </w:tc>
        <w:tc>
          <w:tcPr>
            <w:tcW w:w="1112"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联合检查（次）</w:t>
            </w:r>
          </w:p>
        </w:tc>
        <w:tc>
          <w:tcPr>
            <w:tcW w:w="1132"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专项检查（次）</w:t>
            </w:r>
          </w:p>
        </w:tc>
        <w:tc>
          <w:tcPr>
            <w:tcW w:w="1109" w:type="dxa"/>
            <w:tcBorders>
              <w:top w:val="single" w:color="auto" w:sz="4" w:space="0"/>
              <w:left w:val="single" w:color="auto" w:sz="4"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涉企入户检查（次）</w:t>
            </w:r>
          </w:p>
        </w:tc>
        <w:tc>
          <w:tcPr>
            <w:tcW w:w="2382" w:type="dxa"/>
            <w:tcBorders>
              <w:top w:val="single" w:color="000000" w:sz="6" w:space="0"/>
            </w:tcBorders>
            <w:noWrap/>
            <w:tcMar>
              <w:top w:w="0" w:type="dxa"/>
              <w:left w:w="84" w:type="dxa"/>
              <w:bottom w:w="0" w:type="dxa"/>
              <w:right w:w="84" w:type="dxa"/>
            </w:tcMar>
            <w:vAlign w:val="center"/>
          </w:tcPr>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r>
              <w:rPr>
                <w:rStyle w:val="7"/>
                <w:rFonts w:hint="eastAsia" w:ascii="Times New Roman" w:hAnsi="Times New Roman" w:eastAsia="CESI黑体-GB2312" w:cs="CESI黑体-GB2312"/>
                <w:b w:val="0"/>
                <w:bCs/>
                <w:sz w:val="21"/>
                <w:szCs w:val="21"/>
                <w:lang w:eastAsia="zh-CN"/>
              </w:rPr>
              <w:t>发现问题率</w:t>
            </w:r>
          </w:p>
          <w:p>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850" w:hRule="atLeast"/>
        </w:trPr>
        <w:tc>
          <w:tcPr>
            <w:tcW w:w="1219" w:type="dxa"/>
            <w:noWrap/>
            <w:tcMar>
              <w:top w:w="0" w:type="dxa"/>
              <w:left w:w="84" w:type="dxa"/>
              <w:bottom w:w="0" w:type="dxa"/>
              <w:right w:w="84" w:type="dxa"/>
            </w:tcMar>
            <w:vAlign w:val="center"/>
          </w:tcPr>
          <w:p>
            <w:pPr>
              <w:keepNext w:val="0"/>
              <w:keepLines w:val="0"/>
              <w:pageBreakBefore w:val="0"/>
              <w:widowControl/>
              <w:kinsoku/>
              <w:overflowPunct/>
              <w:topLinePunct w:val="0"/>
              <w:autoSpaceDE/>
              <w:autoSpaceDN/>
              <w:bidi w:val="0"/>
              <w:spacing w:before="0" w:beforeAutospacing="0" w:after="0" w:afterAutospacing="0" w:line="400" w:lineRule="exact"/>
              <w:ind w:left="0" w:leftChars="0" w:firstLine="0" w:firstLineChars="0"/>
              <w:jc w:val="both"/>
              <w:textAlignment w:val="auto"/>
              <w:rPr>
                <w:rFonts w:hint="eastAsia" w:ascii="Times New Roman" w:hAnsi="Times New Roman" w:eastAsia="CESI仿宋-GB2312" w:cs="CESI仿宋-GB2312"/>
                <w:kern w:val="0"/>
                <w:sz w:val="21"/>
                <w:szCs w:val="21"/>
                <w:lang w:val="en-US" w:eastAsia="zh-CN" w:bidi="ar-SA"/>
              </w:rPr>
            </w:pPr>
            <w:r>
              <w:rPr>
                <w:rFonts w:hint="eastAsia" w:ascii="仿宋_GB2312" w:hAnsi="仿宋_GB2312" w:eastAsia="仿宋_GB2312" w:cs="仿宋_GB2312"/>
                <w:b/>
                <w:bCs/>
                <w:sz w:val="21"/>
                <w:szCs w:val="21"/>
                <w:lang w:val="en-US" w:eastAsia="zh-CN"/>
              </w:rPr>
              <w:t>区林业局</w:t>
            </w:r>
          </w:p>
        </w:tc>
        <w:tc>
          <w:tcPr>
            <w:tcW w:w="130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4</w:t>
            </w:r>
          </w:p>
        </w:tc>
        <w:tc>
          <w:tcPr>
            <w:tcW w:w="109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4</w:t>
            </w:r>
          </w:p>
        </w:tc>
        <w:tc>
          <w:tcPr>
            <w:tcW w:w="1123"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4</w:t>
            </w:r>
          </w:p>
        </w:tc>
        <w:tc>
          <w:tcPr>
            <w:tcW w:w="122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263"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11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132" w:type="dxa"/>
            <w:tcBorders>
              <w:right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109" w:type="dxa"/>
            <w:tcBorders>
              <w:left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both"/>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3</w:t>
            </w:r>
          </w:p>
        </w:tc>
        <w:tc>
          <w:tcPr>
            <w:tcW w:w="238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 xml:space="preserve">0  </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lang w:eastAsia="zh-CN"/>
        </w:rPr>
        <w:t>说明：</w:t>
      </w:r>
      <w:r>
        <w:rPr>
          <w:rFonts w:hint="eastAsia" w:ascii="Times New Roman" w:hAnsi="Times New Roman" w:eastAsia="仿宋_GB2312" w:cs="仿宋_GB2312"/>
          <w:sz w:val="32"/>
          <w:szCs w:val="32"/>
          <w:lang w:eastAsia="zh-CN"/>
        </w:rPr>
        <w:t>行政检查计划次数是具有行政检查权的行政执法主体拟定开展行政检查活动计划次数，行政检查实施是指具有行政检查权的行政执法主体实际组织开展的行政检查活动次数。</w:t>
      </w:r>
      <w:r>
        <w:rPr>
          <w:rFonts w:hint="eastAsia" w:ascii="Times New Roman" w:hAnsi="Times New Roman" w:eastAsia="仿宋_GB2312" w:cs="仿宋_GB2312"/>
          <w:sz w:val="32"/>
          <w:szCs w:val="32"/>
        </w:rPr>
        <w:t>“行政检查次数”的统计范围为统计年度1月1日至12月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期间开展行政检查的次数；检查1个检查对象，有完整、详细检查记录的，计为检查1次；无特定检查对象的巡查、巡逻，无完整、详细检查记录，检查后作出行政处罚等其他行政执法行为的，均不计为检查次数。</w:t>
      </w:r>
      <w:r>
        <w:rPr>
          <w:rFonts w:hint="eastAsia" w:ascii="Times New Roman" w:hAnsi="Times New Roman" w:eastAsia="仿宋_GB2312" w:cs="仿宋_GB2312"/>
          <w:b/>
          <w:bCs/>
          <w:sz w:val="32"/>
          <w:szCs w:val="32"/>
        </w:rPr>
        <w:t>发现问题率 = （检查中发现问题的次数 / 总检查次数）×100%‌</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仿宋_GB2312" w:cs="仿宋_GB2312"/>
          <w:sz w:val="32"/>
          <w:szCs w:val="32"/>
        </w:rPr>
        <w:br w:type="page"/>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五</w:t>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年其他行政执法行为实施情况统计表</w:t>
      </w:r>
    </w:p>
    <w:tbl>
      <w:tblPr>
        <w:tblStyle w:val="4"/>
        <w:tblW w:w="132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146"/>
        <w:gridCol w:w="964"/>
        <w:gridCol w:w="1601"/>
        <w:gridCol w:w="627"/>
        <w:gridCol w:w="1537"/>
        <w:gridCol w:w="498"/>
        <w:gridCol w:w="1303"/>
        <w:gridCol w:w="1218"/>
        <w:gridCol w:w="716"/>
        <w:gridCol w:w="1552"/>
        <w:gridCol w:w="1188"/>
        <w:gridCol w:w="9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923" w:hRule="atLeast"/>
          <w:jc w:val="center"/>
        </w:trPr>
        <w:tc>
          <w:tcPr>
            <w:tcW w:w="1146" w:type="dxa"/>
            <w:vMerge w:val="restart"/>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2565" w:type="dxa"/>
            <w:gridSpan w:val="2"/>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行政征收</w:t>
            </w:r>
          </w:p>
        </w:tc>
        <w:tc>
          <w:tcPr>
            <w:tcW w:w="2164" w:type="dxa"/>
            <w:gridSpan w:val="2"/>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行政裁决</w:t>
            </w:r>
          </w:p>
        </w:tc>
        <w:tc>
          <w:tcPr>
            <w:tcW w:w="1801" w:type="dxa"/>
            <w:gridSpan w:val="2"/>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行政给付</w:t>
            </w:r>
          </w:p>
        </w:tc>
        <w:tc>
          <w:tcPr>
            <w:tcW w:w="1218" w:type="dxa"/>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行政确认</w:t>
            </w:r>
          </w:p>
        </w:tc>
        <w:tc>
          <w:tcPr>
            <w:tcW w:w="2268" w:type="dxa"/>
            <w:gridSpan w:val="2"/>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行政奖励</w:t>
            </w:r>
          </w:p>
        </w:tc>
        <w:tc>
          <w:tcPr>
            <w:tcW w:w="1188" w:type="dxa"/>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其他行政执法行为</w:t>
            </w:r>
          </w:p>
        </w:tc>
        <w:tc>
          <w:tcPr>
            <w:tcW w:w="945" w:type="dxa"/>
            <w:vMerge w:val="restart"/>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both"/>
              <w:textAlignment w:val="auto"/>
              <w:rPr>
                <w:rFonts w:hint="eastAsia" w:ascii="Times New Roman" w:hAnsi="Times New Roman" w:eastAsia="CESI仿宋-GB2312" w:cs="CESI仿宋-GB2312"/>
                <w:bCs/>
                <w:sz w:val="21"/>
                <w:szCs w:val="21"/>
              </w:rPr>
            </w:pPr>
            <w:r>
              <w:rPr>
                <w:rStyle w:val="7"/>
                <w:rFonts w:hint="eastAsia" w:ascii="Times New Roman" w:hAnsi="Times New Roman" w:eastAsia="CESI黑体-GB2312" w:cs="CESI黑体-GB2312"/>
                <w:b w:val="0"/>
                <w:bCs/>
                <w:sz w:val="21"/>
                <w:szCs w:val="21"/>
              </w:rPr>
              <w:t>合计</w:t>
            </w:r>
            <w:r>
              <w:rPr>
                <w:rStyle w:val="7"/>
                <w:rFonts w:hint="eastAsia" w:ascii="Times New Roman" w:hAnsi="Times New Roman" w:eastAsia="CESI黑体-GB2312" w:cs="CESI黑体-GB2312"/>
                <w:b w:val="0"/>
                <w:bCs/>
                <w:spacing w:val="-16"/>
                <w:w w:val="96"/>
                <w:sz w:val="21"/>
                <w:szCs w:val="21"/>
              </w:rPr>
              <w:t>（宗）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23" w:hRule="atLeast"/>
          <w:jc w:val="center"/>
        </w:trPr>
        <w:tc>
          <w:tcPr>
            <w:tcW w:w="1146" w:type="dxa"/>
            <w:vMerge w:val="continue"/>
            <w:noWrap/>
            <w:tcMar>
              <w:top w:w="0" w:type="dxa"/>
              <w:left w:w="84" w:type="dxa"/>
              <w:bottom w:w="0" w:type="dxa"/>
              <w:right w:w="84" w:type="dxa"/>
            </w:tcMar>
            <w:vAlign w:val="center"/>
          </w:tcPr>
          <w:p>
            <w:pPr>
              <w:keepNext w:val="0"/>
              <w:keepLines w:val="0"/>
              <w:pageBreakBefore w:val="0"/>
              <w:kinsoku/>
              <w:overflowPunct/>
              <w:topLinePunct w:val="0"/>
              <w:autoSpaceDE/>
              <w:autoSpaceDN/>
              <w:bidi w:val="0"/>
              <w:spacing w:line="240" w:lineRule="auto"/>
              <w:ind w:left="0" w:leftChars="0" w:firstLine="0" w:firstLineChars="0"/>
              <w:textAlignment w:val="auto"/>
              <w:rPr>
                <w:rFonts w:hint="eastAsia" w:ascii="Times New Roman" w:hAnsi="Times New Roman" w:eastAsia="CESI黑体-GB2312" w:cs="CESI黑体-GB2312"/>
                <w:bCs/>
                <w:sz w:val="21"/>
                <w:szCs w:val="21"/>
              </w:rPr>
            </w:pPr>
          </w:p>
        </w:tc>
        <w:tc>
          <w:tcPr>
            <w:tcW w:w="96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160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征收总金额（万元）</w:t>
            </w:r>
          </w:p>
        </w:tc>
        <w:tc>
          <w:tcPr>
            <w:tcW w:w="627"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宗</w:t>
            </w:r>
          </w:p>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数</w:t>
            </w:r>
          </w:p>
        </w:tc>
        <w:tc>
          <w:tcPr>
            <w:tcW w:w="1537"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涉及金额</w:t>
            </w:r>
          </w:p>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（万元）</w:t>
            </w:r>
          </w:p>
        </w:tc>
        <w:tc>
          <w:tcPr>
            <w:tcW w:w="49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宗</w:t>
            </w:r>
          </w:p>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数</w:t>
            </w:r>
          </w:p>
        </w:tc>
        <w:tc>
          <w:tcPr>
            <w:tcW w:w="1303"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给付总金额（万元）</w:t>
            </w:r>
          </w:p>
        </w:tc>
        <w:tc>
          <w:tcPr>
            <w:tcW w:w="121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71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155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奖励总金额（万元）</w:t>
            </w:r>
          </w:p>
        </w:tc>
        <w:tc>
          <w:tcPr>
            <w:tcW w:w="118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945" w:type="dxa"/>
            <w:vMerge w:val="continue"/>
            <w:noWrap/>
            <w:tcMar>
              <w:top w:w="0" w:type="dxa"/>
              <w:left w:w="84" w:type="dxa"/>
              <w:bottom w:w="0" w:type="dxa"/>
              <w:right w:w="84" w:type="dxa"/>
            </w:tcMar>
            <w:vAlign w:val="top"/>
          </w:tcPr>
          <w:p>
            <w:pPr>
              <w:keepNext w:val="0"/>
              <w:keepLines w:val="0"/>
              <w:pageBreakBefore w:val="0"/>
              <w:kinsoku/>
              <w:overflowPunct/>
              <w:topLinePunct w:val="0"/>
              <w:autoSpaceDE/>
              <w:autoSpaceDN/>
              <w:bidi w:val="0"/>
              <w:spacing w:line="240" w:lineRule="auto"/>
              <w:ind w:firstLine="420" w:firstLineChars="200"/>
              <w:jc w:val="center"/>
              <w:textAlignment w:val="auto"/>
              <w:rPr>
                <w:rFonts w:hint="eastAsia" w:ascii="Times New Roman" w:hAnsi="Times New Roman" w:eastAsia="CESI仿宋-GB2312" w:cs="CESI仿宋-GB2312"/>
                <w:bCs/>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850" w:hRule="atLeast"/>
          <w:jc w:val="center"/>
        </w:trPr>
        <w:tc>
          <w:tcPr>
            <w:tcW w:w="1146" w:type="dxa"/>
            <w:vMerge w:val="restart"/>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both"/>
              <w:textAlignment w:val="auto"/>
              <w:rPr>
                <w:rFonts w:hint="eastAsia" w:ascii="Times New Roman" w:hAnsi="Times New Roman" w:eastAsia="CESI仿宋-GB2312" w:cs="CESI仿宋-GB2312"/>
                <w:kern w:val="0"/>
                <w:sz w:val="21"/>
                <w:szCs w:val="21"/>
                <w:lang w:val="en-US" w:eastAsia="zh-CN" w:bidi="ar-SA"/>
              </w:rPr>
            </w:pPr>
            <w:r>
              <w:rPr>
                <w:rFonts w:hint="eastAsia" w:ascii="仿宋_GB2312" w:hAnsi="仿宋_GB2312" w:eastAsia="仿宋_GB2312" w:cs="仿宋_GB2312"/>
                <w:b/>
                <w:bCs/>
                <w:sz w:val="21"/>
                <w:szCs w:val="21"/>
                <w:lang w:val="en-US" w:eastAsia="zh-CN"/>
              </w:rPr>
              <w:t>区林业局</w:t>
            </w:r>
          </w:p>
        </w:tc>
        <w:tc>
          <w:tcPr>
            <w:tcW w:w="96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60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627"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537"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49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303"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21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716"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552"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188"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945"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850" w:hRule="atLeast"/>
          <w:jc w:val="center"/>
        </w:trPr>
        <w:tc>
          <w:tcPr>
            <w:tcW w:w="1146" w:type="dxa"/>
            <w:vMerge w:val="continue"/>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firstLine="420" w:firstLineChars="200"/>
              <w:jc w:val="center"/>
              <w:textAlignment w:val="auto"/>
              <w:rPr>
                <w:rFonts w:hint="eastAsia" w:ascii="Times New Roman" w:hAnsi="Times New Roman" w:eastAsia="CESI仿宋-GB2312" w:cs="CESI仿宋-GB2312"/>
                <w:kern w:val="0"/>
                <w:sz w:val="21"/>
                <w:szCs w:val="21"/>
                <w:lang w:val="en-US" w:eastAsia="zh-CN" w:bidi="ar-SA"/>
              </w:rPr>
            </w:pPr>
          </w:p>
        </w:tc>
        <w:tc>
          <w:tcPr>
            <w:tcW w:w="964"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601"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627"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537"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498"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303"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218"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716"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552"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1188"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c>
          <w:tcPr>
            <w:tcW w:w="945" w:type="dxa"/>
            <w:tcBorders>
              <w:bottom w:val="single" w:color="auto" w:sz="4"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r>
    </w:tbl>
    <w:p>
      <w:pPr>
        <w:keepNext w:val="0"/>
        <w:keepLines w:val="0"/>
        <w:pageBreakBefore w:val="0"/>
        <w:kinsoku/>
        <w:overflowPunct/>
        <w:topLinePunct w:val="0"/>
        <w:autoSpaceDE/>
        <w:autoSpaceDN/>
        <w:bidi w:val="0"/>
        <w:spacing w:line="140" w:lineRule="exact"/>
        <w:ind w:firstLine="420" w:firstLineChars="200"/>
        <w:textAlignment w:val="auto"/>
        <w:rPr>
          <w:rFonts w:hint="eastAsia" w:ascii="Times New Roman" w:hAnsi="Times New Roman" w:eastAsia="CESI仿宋-GB2312" w:cs="CESI仿宋-GB2312"/>
          <w:szCs w:val="21"/>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1.“行政征收次数”的统计范围为统计年度1月1日至12月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期间征收完毕的数量。2.“行政裁决宗数”、“行政确认宗数”、“行政奖励宗数”的统计范围为统计年度1月1日至12月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期间作出决定的数量。</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.“行政给付宗数”的统计范围为统计年度1月1日至12月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期间给付完毕的数量。</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.“其他行政执法行为”的统计范围为统计年度1月1日至12月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期间完成的宗数。</w:t>
      </w:r>
      <w:r>
        <w:rPr>
          <w:rFonts w:hint="eastAsia" w:ascii="Times New Roman" w:hAnsi="Times New Roman" w:eastAsia="仿宋_GB2312" w:cs="仿宋_GB2312"/>
          <w:b/>
          <w:bCs/>
          <w:sz w:val="32"/>
          <w:szCs w:val="32"/>
          <w:lang w:eastAsia="zh-CN"/>
        </w:rPr>
        <w:t>涉企案件填入第二行单独分行统计。</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640"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六</w:t>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行政执法和执法监督平台建设</w:t>
      </w:r>
      <w:r>
        <w:rPr>
          <w:rFonts w:hint="eastAsia" w:ascii="Times New Roman" w:hAnsi="Times New Roman" w:eastAsia="CESI楷体-GB2312" w:cs="CESI楷体-GB2312"/>
          <w:b w:val="0"/>
          <w:bCs w:val="0"/>
          <w:sz w:val="32"/>
          <w:szCs w:val="32"/>
        </w:rPr>
        <w:t>情况统计表</w:t>
      </w:r>
    </w:p>
    <w:tbl>
      <w:tblPr>
        <w:tblStyle w:val="4"/>
        <w:tblW w:w="1235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146"/>
        <w:gridCol w:w="964"/>
        <w:gridCol w:w="1601"/>
        <w:gridCol w:w="2164"/>
        <w:gridCol w:w="1801"/>
        <w:gridCol w:w="1934"/>
        <w:gridCol w:w="274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923" w:hRule="atLeast"/>
          <w:jc w:val="center"/>
        </w:trPr>
        <w:tc>
          <w:tcPr>
            <w:tcW w:w="1146" w:type="dxa"/>
            <w:vMerge w:val="restart"/>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4729" w:type="dxa"/>
            <w:gridSpan w:val="3"/>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行政执法平台</w:t>
            </w:r>
          </w:p>
        </w:tc>
        <w:tc>
          <w:tcPr>
            <w:tcW w:w="6475" w:type="dxa"/>
            <w:gridSpan w:val="3"/>
            <w:tcBorders>
              <w:top w:val="single" w:color="auto" w:sz="12" w:space="0"/>
            </w:tcBorders>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行政执法监督平台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23" w:hRule="atLeast"/>
          <w:jc w:val="center"/>
        </w:trPr>
        <w:tc>
          <w:tcPr>
            <w:tcW w:w="1146" w:type="dxa"/>
            <w:vMerge w:val="continue"/>
            <w:noWrap/>
            <w:tcMar>
              <w:top w:w="0" w:type="dxa"/>
              <w:left w:w="84" w:type="dxa"/>
              <w:bottom w:w="0" w:type="dxa"/>
              <w:right w:w="84" w:type="dxa"/>
            </w:tcMar>
            <w:vAlign w:val="center"/>
          </w:tcPr>
          <w:p>
            <w:pPr>
              <w:keepNext w:val="0"/>
              <w:keepLines w:val="0"/>
              <w:pageBreakBefore w:val="0"/>
              <w:kinsoku/>
              <w:overflowPunct/>
              <w:topLinePunct w:val="0"/>
              <w:autoSpaceDE/>
              <w:autoSpaceDN/>
              <w:bidi w:val="0"/>
              <w:spacing w:line="240" w:lineRule="auto"/>
              <w:ind w:left="0" w:leftChars="0" w:firstLine="0" w:firstLineChars="0"/>
              <w:textAlignment w:val="auto"/>
              <w:rPr>
                <w:rFonts w:hint="eastAsia" w:ascii="Times New Roman" w:hAnsi="Times New Roman" w:eastAsia="CESI黑体-GB2312" w:cs="CESI黑体-GB2312"/>
                <w:bCs/>
                <w:sz w:val="21"/>
                <w:szCs w:val="21"/>
              </w:rPr>
            </w:pPr>
          </w:p>
        </w:tc>
        <w:tc>
          <w:tcPr>
            <w:tcW w:w="96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名称</w:t>
            </w:r>
          </w:p>
        </w:tc>
        <w:tc>
          <w:tcPr>
            <w:tcW w:w="160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主要功能</w:t>
            </w:r>
          </w:p>
        </w:tc>
        <w:tc>
          <w:tcPr>
            <w:tcW w:w="216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lang w:eastAsia="zh-CN"/>
              </w:rPr>
              <w:t>运行情况</w:t>
            </w:r>
          </w:p>
        </w:tc>
        <w:tc>
          <w:tcPr>
            <w:tcW w:w="180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Fonts w:hint="eastAsia" w:ascii="Times New Roman" w:hAnsi="Times New Roman" w:eastAsia="CESI黑体-GB2312" w:cs="CESI黑体-GB2312"/>
                <w:bCs/>
                <w:sz w:val="21"/>
                <w:szCs w:val="21"/>
                <w:lang w:eastAsia="zh-CN"/>
              </w:rPr>
              <w:t>名称</w:t>
            </w:r>
          </w:p>
        </w:tc>
        <w:tc>
          <w:tcPr>
            <w:tcW w:w="193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lang w:eastAsia="zh-CN"/>
              </w:rPr>
              <w:t>主要功能</w:t>
            </w:r>
          </w:p>
        </w:tc>
        <w:tc>
          <w:tcPr>
            <w:tcW w:w="274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lang w:eastAsia="zh-CN"/>
              </w:rPr>
              <w:t>运行情况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23" w:hRule="atLeast"/>
          <w:jc w:val="center"/>
        </w:trPr>
        <w:tc>
          <w:tcPr>
            <w:tcW w:w="1146" w:type="dxa"/>
            <w:noWrap/>
            <w:tcMar>
              <w:top w:w="0" w:type="dxa"/>
              <w:left w:w="84" w:type="dxa"/>
              <w:bottom w:w="0" w:type="dxa"/>
              <w:right w:w="84" w:type="dxa"/>
            </w:tcMar>
            <w:vAlign w:val="center"/>
          </w:tcPr>
          <w:p>
            <w:pPr>
              <w:keepNext w:val="0"/>
              <w:keepLines w:val="0"/>
              <w:pageBreakBefore w:val="0"/>
              <w:kinsoku/>
              <w:overflowPunct/>
              <w:topLinePunct w:val="0"/>
              <w:autoSpaceDE/>
              <w:autoSpaceDN/>
              <w:bidi w:val="0"/>
              <w:spacing w:line="240" w:lineRule="auto"/>
              <w:ind w:left="0" w:leftChars="0" w:firstLine="0" w:firstLineChars="0"/>
              <w:textAlignment w:val="auto"/>
              <w:rPr>
                <w:rFonts w:hint="eastAsia" w:ascii="Times New Roman" w:hAnsi="Times New Roman" w:eastAsia="CESI黑体-GB2312" w:cs="CESI黑体-GB2312"/>
                <w:bCs/>
                <w:sz w:val="21"/>
                <w:szCs w:val="21"/>
              </w:rPr>
            </w:pPr>
            <w:r>
              <w:rPr>
                <w:rFonts w:hint="eastAsia" w:ascii="仿宋_GB2312" w:hAnsi="仿宋_GB2312" w:eastAsia="仿宋_GB2312" w:cs="仿宋_GB2312"/>
                <w:b/>
                <w:bCs/>
                <w:sz w:val="21"/>
                <w:szCs w:val="21"/>
                <w:lang w:val="en-US" w:eastAsia="zh-CN"/>
              </w:rPr>
              <w:t>区林业局</w:t>
            </w:r>
          </w:p>
        </w:tc>
        <w:tc>
          <w:tcPr>
            <w:tcW w:w="96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lang w:val="en-US" w:eastAsia="zh-CN"/>
              </w:rPr>
            </w:pPr>
            <w:r>
              <w:rPr>
                <w:rFonts w:hint="eastAsia" w:ascii="Times New Roman" w:hAnsi="Times New Roman" w:eastAsia="CESI黑体-GB2312" w:cs="CESI黑体-GB2312"/>
                <w:bCs/>
                <w:sz w:val="21"/>
                <w:szCs w:val="21"/>
                <w:lang w:val="en-US" w:eastAsia="zh-CN"/>
              </w:rPr>
              <w:t>无</w:t>
            </w:r>
          </w:p>
        </w:tc>
        <w:tc>
          <w:tcPr>
            <w:tcW w:w="160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216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1801"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p>
        </w:tc>
        <w:tc>
          <w:tcPr>
            <w:tcW w:w="1934"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2740" w:type="dxa"/>
            <w:noWrap/>
            <w:tcMar>
              <w:top w:w="0" w:type="dxa"/>
              <w:left w:w="84" w:type="dxa"/>
              <w:bottom w:w="0" w:type="dxa"/>
              <w:right w:w="84" w:type="dxa"/>
            </w:tcMar>
            <w:vAlign w:val="center"/>
          </w:tcPr>
          <w:p>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r>
    </w:tbl>
    <w:p>
      <w:pPr>
        <w:keepNext w:val="0"/>
        <w:keepLines w:val="0"/>
        <w:pageBreakBefore w:val="0"/>
        <w:kinsoku/>
        <w:overflowPunct/>
        <w:topLinePunct w:val="0"/>
        <w:autoSpaceDE/>
        <w:autoSpaceDN/>
        <w:bidi w:val="0"/>
        <w:spacing w:line="140" w:lineRule="exact"/>
        <w:ind w:firstLine="420" w:firstLineChars="200"/>
        <w:textAlignment w:val="auto"/>
        <w:rPr>
          <w:rFonts w:hint="eastAsia" w:ascii="Times New Roman" w:hAnsi="Times New Roman" w:eastAsia="CESI仿宋-GB2312" w:cs="CESI仿宋-GB2312"/>
          <w:szCs w:val="21"/>
        </w:rPr>
      </w:pP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Times New Roman" w:hAnsi="Times New Roman" w:eastAsia="CESI黑体-GB2312" w:cs="CESI黑体-GB2312"/>
          <w:sz w:val="32"/>
          <w:szCs w:val="32"/>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lang w:val="en-US" w:eastAsia="zh-CN"/>
        </w:rPr>
        <w:t>1.行政执法和行政执法监督平台建设以建设单位作为填报单位，如平台建设单位是武汉市司法局，市、区共用，则单位名称为武汉市司法局，计为一个平台。2.行政执法平台由行政执法部门填报，行政执法监督平台由司法行政机关填报。</w:t>
      </w: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lang w:val="en-US" w:eastAsia="zh-CN"/>
        </w:rPr>
        <w:t xml:space="preserve">    </w:t>
      </w:r>
      <w:r>
        <w:rPr>
          <w:rFonts w:hint="eastAsia" w:ascii="Times New Roman" w:hAnsi="Times New Roman" w:eastAsia="CESI黑体-GB2312" w:cs="CESI黑体-GB2312"/>
          <w:sz w:val="32"/>
          <w:szCs w:val="32"/>
        </w:rPr>
        <w:t>三、</w:t>
      </w:r>
      <w:r>
        <w:rPr>
          <w:rFonts w:hint="eastAsia" w:ascii="Times New Roman" w:hAnsi="Times New Roman" w:eastAsia="CESI黑体-GB2312" w:cs="CESI黑体-GB2312"/>
          <w:sz w:val="32"/>
          <w:szCs w:val="32"/>
          <w:lang w:eastAsia="zh-CN"/>
        </w:rPr>
        <w:t>2025</w:t>
      </w:r>
      <w:r>
        <w:rPr>
          <w:rFonts w:hint="eastAsia" w:ascii="Times New Roman" w:hAnsi="Times New Roman" w:eastAsia="CESI黑体-GB2312" w:cs="CESI黑体-GB2312"/>
          <w:sz w:val="32"/>
          <w:szCs w:val="32"/>
        </w:rPr>
        <w:t>年度行政执法投诉、举报案件情况</w:t>
      </w:r>
    </w:p>
    <w:p>
      <w:pPr>
        <w:keepNext w:val="0"/>
        <w:keepLines w:val="0"/>
        <w:pageBreakBefore w:val="0"/>
        <w:widowControl w:val="0"/>
        <w:kinsoku/>
        <w:wordWrap/>
        <w:overflowPunct/>
        <w:topLinePunct w:val="0"/>
        <w:autoSpaceDE/>
        <w:autoSpaceDN/>
        <w:bidi w:val="0"/>
        <w:adjustRightInd/>
        <w:snapToGrid/>
        <w:spacing w:before="289" w:beforeLines="50" w:after="289" w:afterLines="50"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本单位</w:t>
      </w:r>
      <w:r>
        <w:rPr>
          <w:rFonts w:hint="eastAsia" w:ascii="仿宋" w:hAnsi="仿宋" w:eastAsia="仿宋" w:cs="仿宋"/>
          <w:i w:val="0"/>
          <w:iCs w:val="0"/>
          <w:caps w:val="0"/>
          <w:color w:val="000000"/>
          <w:spacing w:val="0"/>
          <w:sz w:val="32"/>
          <w:szCs w:val="32"/>
        </w:rPr>
        <w:t>未受理或其他单位转办的涉及行政执法的投诉、举报案件。</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CESI黑体-GB2312" w:cs="CESI黑体-GB2312"/>
          <w:sz w:val="32"/>
          <w:szCs w:val="32"/>
        </w:rPr>
      </w:pPr>
      <w:r>
        <w:rPr>
          <w:rFonts w:hint="eastAsia" w:ascii="Times New Roman" w:hAnsi="Times New Roman" w:eastAsia="CESI黑体-GB2312" w:cs="CESI黑体-GB2312"/>
          <w:sz w:val="32"/>
          <w:szCs w:val="32"/>
        </w:rPr>
        <w:t>其他需要公示的统计数据</w:t>
      </w:r>
    </w:p>
    <w:p>
      <w:pPr>
        <w:keepNext w:val="0"/>
        <w:keepLines w:val="0"/>
        <w:pageBreakBefore w:val="0"/>
        <w:widowControl w:val="0"/>
        <w:kinsoku/>
        <w:wordWrap/>
        <w:overflowPunct/>
        <w:topLinePunct w:val="0"/>
        <w:autoSpaceDE/>
        <w:autoSpaceDN/>
        <w:bidi w:val="0"/>
        <w:adjustRightInd/>
        <w:snapToGrid/>
        <w:spacing w:before="289" w:beforeLines="50" w:after="289" w:afterLines="50" w:line="60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无。</w:t>
      </w:r>
    </w:p>
    <w:p>
      <w:pPr>
        <w:keepNext w:val="0"/>
        <w:keepLines w:val="0"/>
        <w:pageBreakBefore w:val="0"/>
        <w:widowControl w:val="0"/>
        <w:numPr>
          <w:ilvl w:val="0"/>
          <w:numId w:val="0"/>
        </w:numPr>
        <w:kinsoku/>
        <w:overflowPunct/>
        <w:topLinePunct w:val="0"/>
        <w:autoSpaceDE/>
        <w:autoSpaceDN/>
        <w:bidi w:val="0"/>
        <w:ind w:firstLine="640" w:firstLineChars="200"/>
        <w:jc w:val="both"/>
        <w:textAlignment w:val="auto"/>
        <w:rPr>
          <w:rFonts w:hint="default" w:ascii="Times New Roman" w:hAnsi="Times New Roman" w:eastAsia="CESI仿宋-GB2312" w:cs="CESI仿宋-GB2312"/>
          <w:sz w:val="32"/>
          <w:szCs w:val="32"/>
        </w:rPr>
      </w:pPr>
    </w:p>
    <w:p>
      <w:pPr>
        <w:keepNext w:val="0"/>
        <w:keepLines w:val="0"/>
        <w:pageBreakBefore w:val="0"/>
        <w:kinsoku/>
        <w:overflowPunct/>
        <w:topLinePunct w:val="0"/>
        <w:autoSpaceDE/>
        <w:autoSpaceDN/>
        <w:bidi w:val="0"/>
        <w:ind w:firstLine="420" w:firstLineChars="200"/>
        <w:textAlignment w:val="auto"/>
        <w:rPr>
          <w:rFonts w:ascii="Times New Roman" w:hAnsi="Times New Roman"/>
        </w:rPr>
      </w:pPr>
    </w:p>
    <w:p>
      <w:pPr>
        <w:ind w:firstLine="4160" w:firstLineChars="1300"/>
        <w:rPr>
          <w:rFonts w:hint="eastAsia" w:ascii="仿宋" w:hAnsi="仿宋" w:eastAsia="仿宋"/>
          <w:sz w:val="32"/>
          <w:szCs w:val="32"/>
        </w:rPr>
      </w:pPr>
    </w:p>
    <w:sectPr>
      <w:pgSz w:w="16838" w:h="11906" w:orient="landscape"/>
      <w:pgMar w:top="1800" w:right="1440" w:bottom="180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0000000000000000000"/>
    <w:charset w:val="00"/>
    <w:family w:val="auto"/>
    <w:pitch w:val="default"/>
    <w:sig w:usb0="00000000" w:usb1="00000000" w:usb2="00000000"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黑体-GB2312">
    <w:panose1 w:val="02000500000000000000"/>
    <w:charset w:val="86"/>
    <w:family w:val="auto"/>
    <w:pitch w:val="default"/>
    <w:sig w:usb0="800002BF" w:usb1="184F6CF8" w:usb2="00000012" w:usb3="00000000" w:csb0="0004000F" w:csb1="00000000"/>
  </w:font>
  <w:font w:name="CESI小标宋-GB2312">
    <w:panose1 w:val="02000500000000000000"/>
    <w:charset w:val="86"/>
    <w:family w:val="auto"/>
    <w:pitch w:val="default"/>
    <w:sig w:usb0="800002AF" w:usb1="084F6CF8" w:usb2="00000010" w:usb3="00000000" w:csb0="0004000F" w:csb1="00000000"/>
  </w:font>
  <w:font w:name="CESI仿宋-GB2312">
    <w:panose1 w:val="02000500000000000000"/>
    <w:charset w:val="86"/>
    <w:family w:val="auto"/>
    <w:pitch w:val="default"/>
    <w:sig w:usb0="800002AF" w:usb1="084F6CF8" w:usb2="00000010" w:usb3="00000000" w:csb0="0004000F" w:csb1="00000000"/>
  </w:font>
  <w:font w:name="CESI楷体-GB2312">
    <w:panose1 w:val="02000500000000000000"/>
    <w:charset w:val="86"/>
    <w:family w:val="auto"/>
    <w:pitch w:val="default"/>
    <w:sig w:usb0="800002BF" w:usb1="184F6CF8" w:usb2="00000012"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857AB"/>
    <w:multiLevelType w:val="singleLevel"/>
    <w:tmpl w:val="F69857AB"/>
    <w:lvl w:ilvl="0" w:tentative="0">
      <w:start w:val="1"/>
      <w:numFmt w:val="chineseCounting"/>
      <w:suff w:val="nothing"/>
      <w:lvlText w:val="%1、"/>
      <w:lvlJc w:val="left"/>
      <w:rPr>
        <w:rFonts w:hint="eastAsia"/>
      </w:rPr>
    </w:lvl>
  </w:abstractNum>
  <w:abstractNum w:abstractNumId="1">
    <w:nsid w:val="67BD90E3"/>
    <w:multiLevelType w:val="singleLevel"/>
    <w:tmpl w:val="67BD90E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864EF"/>
    <w:rsid w:val="138E231B"/>
    <w:rsid w:val="376E23A4"/>
    <w:rsid w:val="3AC8789E"/>
    <w:rsid w:val="509B22D6"/>
    <w:rsid w:val="558006D2"/>
    <w:rsid w:val="56244B1C"/>
    <w:rsid w:val="56FF6CCA"/>
    <w:rsid w:val="5F0A30CC"/>
    <w:rsid w:val="5F376D31"/>
    <w:rsid w:val="60C730DF"/>
    <w:rsid w:val="65C445DE"/>
    <w:rsid w:val="67BBDE81"/>
    <w:rsid w:val="67D83245"/>
    <w:rsid w:val="75F57277"/>
    <w:rsid w:val="7EAB4A15"/>
    <w:rsid w:val="ECF5098A"/>
    <w:rsid w:val="F3DBBA4B"/>
    <w:rsid w:val="FD795A08"/>
    <w:rsid w:val="FF6E77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sz w:val="18"/>
      <w:szCs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3798</Words>
  <Characters>3925</Characters>
  <Lines>0</Lines>
  <Paragraphs>0</Paragraphs>
  <TotalTime>5</TotalTime>
  <ScaleCrop>false</ScaleCrop>
  <LinksUpToDate>false</LinksUpToDate>
  <CharactersWithSpaces>4807</CharactersWithSpaces>
  <Application>WPS Office_11.8.2.1123_F1E327BC-269C-435d-A152-05C5408002CA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2026-01-21T18:02:00Z</dcterms:created>
  <dc:creator>Administrator</dc:creator>
  <cp:lastModifiedBy>lyj</cp:lastModifiedBy>
  <cp:lastPrinted>2026-04-21T01:37:00Z</cp:lastPrinted>
  <dcterms:modified xsi:type="dcterms:W3CDTF">2026-04-22T09:15:20Z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2052-11.8.2.1123</vt:lpwstr>
  </property>
  <property fmtid="{D5CDD505-2E9C-101B-9397-08002B2CF9AE}" pid="3" name="KSOTemplateDocerSaveRecord">
    <vt:lpwstr>eyJoZGlkIjoiNzk5ZGViZmM0YTIwZWZmMGRlYTFiOWE1ODAxZjQyODUifQ==</vt:lpwstr>
  </property>
  <property fmtid="{D5CDD505-2E9C-101B-9397-08002B2CF9AE}" pid="4" name="ICV">
    <vt:lpwstr>9D68C5F3F70C4C2C897367695111F16C_13</vt:lpwstr>
  </property>
</Properties>
</file>