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</w:rPr>
      </w:pPr>
      <w:bookmarkStart w:id="0" w:name="_GoBack"/>
      <w:bookmarkEnd w:id="0"/>
      <w:r>
        <w:rPr>
          <w:rFonts w:hint="eastAsia" w:ascii="方正小标宋_GBK" w:eastAsia="方正小标宋_GBK"/>
          <w:b/>
          <w:color w:val="333333"/>
          <w:sz w:val="36"/>
          <w:szCs w:val="36"/>
          <w:shd w:val="clear" w:color="auto" w:fill="FFFFFF"/>
        </w:rPr>
        <w:t>随州市曾都区林业局重大执法决定法制审核目录清单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993"/>
        <w:gridCol w:w="2272"/>
        <w:gridCol w:w="1552"/>
        <w:gridCol w:w="987"/>
        <w:gridCol w:w="3268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行政执法类别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提交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机构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范围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依据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机构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审核程序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666666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行政处罚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行政执法承办部门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适用一般程序作出的行政处罚决定</w:t>
            </w:r>
          </w:p>
        </w:tc>
        <w:tc>
          <w:tcPr>
            <w:tcW w:w="155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《行政处罚法》、《湖北省重大行政执法决定法制审核办法（试行）》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666666"/>
                <w:shd w:val="clear" w:color="auto" w:fill="FFFFFF"/>
              </w:rPr>
              <w:t>森林和湿地资源管理股</w:t>
            </w:r>
          </w:p>
        </w:tc>
        <w:tc>
          <w:tcPr>
            <w:tcW w:w="3268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（1）立案或者程序启动阶段的有关材料,包括案件来源材料,立案或者受理、登记的相关材料以及当事人递交的申请材料等。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2）调查取证阶段收集的证据材料及相关执法文书,包括收集调取的书证、物证、视听资料、当事人陈述、证人证言、现场笔录、勘验笔录等全部证据材料,以及进行审核审查、采取有关措施、告知有关权利义务等全部过程的行政执法文书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（3）经过听证、专家论证或者评审、评估等程序的,应当报送进行听证、专家论证或者评审、评估的全部材料。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（4）案件调查或者审查终结报告、办理情况说明以及拟作出的行政执法决定书等。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（5）其他相关材料。</w:t>
            </w:r>
          </w:p>
          <w:p/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（1）行政执法主体和行政执法人员的合法性。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（2）行政执法的权限是否合法。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（3）行政执法的程序是否合法。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（4）案件事实是否清楚，证据是否合法充分。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（5）适用法律、法规、规章等依据是否准确，裁量基准运用是否适当。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（6）行政执法文书是否完善、规范。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（7）违法行为是否涉嫌犯罪，需要移送司法机关。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666666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行政许可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  <w:tc>
          <w:tcPr>
            <w:tcW w:w="227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1.涉及重大公共利益,可能造成重大社会影响或引发社会风险的行政执法决定。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2.直接关系行政相对人或第三人重大权益的行政执法决定。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3.经过听证程序作出的行政执法决定。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4.案件情况疑难复杂、涉及多个法律关系的行政执法决定。        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5.应当进行法制审核的行政许可决定。</w:t>
            </w:r>
          </w:p>
        </w:tc>
        <w:tc>
          <w:tcPr>
            <w:tcW w:w="155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《行政许可法》、《湖北省重大行政执法决定法制审核办法（试行）》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  <w:tc>
          <w:tcPr>
            <w:tcW w:w="3268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666666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行政强制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行政执法承办部门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333333"/>
                <w:shd w:val="clear" w:color="auto" w:fill="FFFFFF"/>
              </w:rPr>
              <w:t>所有的行政强制决定</w:t>
            </w:r>
          </w:p>
        </w:tc>
        <w:tc>
          <w:tcPr>
            <w:tcW w:w="155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《行政强制法》、《湖北省重大行政执法决定法制审核办法（试行）》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666666"/>
                <w:shd w:val="clear" w:color="auto" w:fill="FFFFFF"/>
              </w:rPr>
              <w:t>森林和湿地资源管理股</w:t>
            </w:r>
          </w:p>
        </w:tc>
        <w:tc>
          <w:tcPr>
            <w:tcW w:w="3268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（1）立案或者程序启动阶段的有关材料,包括案件来源材料,立案或者受理、登记的相关材料以及当事人递交的申请材料等。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2）调查取证阶段收集的证据材料及相关执法文书,包括收集调取的书证、物证、视听资料、当事人陈述、证人证言、现场笔录、勘验笔录等全部证据材料,以及进行审核审查、采取有关措施、告知有关权利义务等全部过程的行政执法文书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（3）经过听证、专家论证或者评审、评估等程序的,应当报送进行听证、专家论证或者评审、评估的全部材料。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（4）案件调查或者审查终结报告、办理情况说明以及拟作出的行政执法决定书等。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（5）其他相关材料。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  <w:tc>
          <w:tcPr>
            <w:tcW w:w="3180" w:type="dxa"/>
            <w:vMerge w:val="restart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（1）行政执法主体和行政执法人员的合法性。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（2）行政执法的权限是否合法。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（3）行政执法的程序是否合法。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（4）案件事实是否清楚，证据是否合法充分。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（5）适用法律、法规、规章等依据是否准确，裁量基准运用是否适当。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（6）行政执法文书是否完善、规范。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（7）违法行为是否涉嫌犯罪，需要移送司法机关。</w:t>
            </w:r>
          </w:p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666666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666666"/>
                <w:shd w:val="clear" w:color="auto" w:fill="FFFFFF"/>
              </w:rPr>
              <w:t>其他类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  <w:tc>
          <w:tcPr>
            <w:tcW w:w="227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333333"/>
                <w:shd w:val="clear" w:color="auto" w:fill="FFFFFF"/>
              </w:rPr>
              <w:t>应当进行法制审核的其他行政执法决定</w:t>
            </w:r>
          </w:p>
        </w:tc>
        <w:tc>
          <w:tcPr>
            <w:tcW w:w="1552" w:type="dxa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  <w:r>
              <w:rPr>
                <w:rFonts w:ascii="宋体" w:hAnsi="宋体" w:eastAsia="宋体"/>
                <w:color w:val="666666"/>
                <w:shd w:val="clear" w:color="auto" w:fill="FFFFFF"/>
              </w:rPr>
              <w:t>《湖北省重大行政执法决定法制审核办法（试行）》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  <w:tc>
          <w:tcPr>
            <w:tcW w:w="3268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  <w:tc>
          <w:tcPr>
            <w:tcW w:w="3180" w:type="dxa"/>
            <w:vMerge w:val="continue"/>
            <w:vAlign w:val="center"/>
          </w:tcPr>
          <w:p>
            <w:pPr>
              <w:rPr>
                <w:rFonts w:ascii="宋体" w:hAnsi="宋体" w:eastAsia="宋体"/>
                <w:color w:val="666666"/>
                <w:shd w:val="clear" w:color="auto" w:fill="FFFFFF"/>
              </w:rPr>
            </w:pPr>
          </w:p>
        </w:tc>
      </w:tr>
    </w:tbl>
    <w:p>
      <w:pPr>
        <w:rPr>
          <w:rFonts w:ascii="宋体" w:hAnsi="宋体" w:eastAsia="宋体"/>
          <w:color w:val="666666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宋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BB"/>
    <w:rsid w:val="00171252"/>
    <w:rsid w:val="00305A66"/>
    <w:rsid w:val="003D29C7"/>
    <w:rsid w:val="00587161"/>
    <w:rsid w:val="00771B97"/>
    <w:rsid w:val="00781A99"/>
    <w:rsid w:val="007A2396"/>
    <w:rsid w:val="008C1421"/>
    <w:rsid w:val="009F72A7"/>
    <w:rsid w:val="00BB6B4C"/>
    <w:rsid w:val="00C14DBB"/>
    <w:rsid w:val="00D82E14"/>
    <w:rsid w:val="00E44C49"/>
    <w:rsid w:val="00FB4E2F"/>
    <w:rsid w:val="00FC72FB"/>
    <w:rsid w:val="EBDF9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1096</Characters>
  <Lines>9</Lines>
  <Paragraphs>2</Paragraphs>
  <TotalTime>206</TotalTime>
  <ScaleCrop>false</ScaleCrop>
  <LinksUpToDate>false</LinksUpToDate>
  <CharactersWithSpaces>1286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2023-06-25T16:49:00Z</dcterms:created>
  <dc:creator>Administrator</dc:creator>
  <cp:lastModifiedBy>lyj</cp:lastModifiedBy>
  <cp:lastPrinted>2023-06-26T10:31:00Z</cp:lastPrinted>
  <dcterms:modified xsi:type="dcterms:W3CDTF">2023-06-26T11:23:05Z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940D7828B2458A0E99049964FA85FBCB</vt:lpwstr>
  </property>
</Properties>
</file>