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jc w:val="center"/>
        <w:rPr>
          <w:rFonts w:ascii="宋体" w:hAnsi="宋体" w:eastAsia="宋体"/>
          <w:b/>
          <w:sz w:val="44"/>
          <w:szCs w:val="44"/>
        </w:rPr>
      </w:pPr>
      <w:bookmarkStart w:id="0" w:name="_GoBack"/>
      <w:r>
        <w:rPr>
          <w:rFonts w:hint="eastAsia" w:ascii="宋体" w:hAnsi="宋体" w:eastAsia="宋体"/>
          <w:b/>
          <w:sz w:val="44"/>
          <w:szCs w:val="44"/>
        </w:rPr>
        <w:t>随州市曾都区林业局</w:t>
      </w:r>
      <w:r>
        <w:rPr>
          <w:rFonts w:hint="eastAsia" w:ascii="宋体" w:hAnsi="宋体" w:eastAsia="宋体"/>
          <w:b/>
          <w:sz w:val="44"/>
          <w:szCs w:val="44"/>
          <w:lang w:eastAsia="zh-CN"/>
        </w:rPr>
        <w:t>202</w:t>
      </w:r>
      <w:r>
        <w:rPr>
          <w:rFonts w:hint="eastAsia" w:ascii="宋体" w:hAnsi="宋体" w:eastAsia="宋体"/>
          <w:b/>
          <w:sz w:val="44"/>
          <w:szCs w:val="44"/>
          <w:lang w:val="en-US" w:eastAsia="zh-CN"/>
        </w:rPr>
        <w:t>5</w:t>
      </w:r>
      <w:r>
        <w:rPr>
          <w:rFonts w:hint="eastAsia" w:ascii="宋体" w:hAnsi="宋体" w:eastAsia="宋体"/>
          <w:b/>
          <w:sz w:val="44"/>
          <w:szCs w:val="44"/>
        </w:rPr>
        <w:t>年度法治政府建设</w:t>
      </w:r>
    </w:p>
    <w:p>
      <w:pPr>
        <w:jc w:val="center"/>
        <w:rPr>
          <w:rFonts w:ascii="宋体" w:hAnsi="宋体" w:eastAsia="宋体"/>
          <w:b/>
          <w:sz w:val="44"/>
          <w:szCs w:val="44"/>
        </w:rPr>
      </w:pPr>
      <w:r>
        <w:rPr>
          <w:rFonts w:hint="eastAsia" w:ascii="宋体" w:hAnsi="宋体" w:eastAsia="宋体"/>
          <w:b/>
          <w:sz w:val="44"/>
          <w:szCs w:val="44"/>
        </w:rPr>
        <w:t>工作报告</w:t>
      </w:r>
    </w:p>
    <w:bookmarkEnd w:id="0"/>
    <w:p/>
    <w:p>
      <w:pPr>
        <w:pStyle w:val="7"/>
        <w:shd w:val="clear" w:color="auto" w:fill="FFFFFF"/>
        <w:spacing w:before="0" w:beforeAutospacing="0" w:after="0" w:afterAutospacing="0"/>
        <w:ind w:firstLine="630"/>
        <w:jc w:val="both"/>
        <w:rPr>
          <w:rFonts w:hint="eastAsia" w:ascii="仿宋_GB2312" w:hAnsi="微软雅黑" w:eastAsia="仿宋_GB2312" w:cs="宋体"/>
          <w:color w:val="auto"/>
          <w:kern w:val="0"/>
          <w:sz w:val="32"/>
          <w:szCs w:val="32"/>
          <w:lang w:val="en-US" w:eastAsia="zh-CN" w:bidi="ar-SA"/>
        </w:rPr>
      </w:pPr>
      <w:r>
        <w:rPr>
          <w:rFonts w:hint="eastAsia" w:ascii="仿宋_GB2312" w:hAnsi="微软雅黑" w:eastAsia="仿宋_GB2312"/>
          <w:color w:val="auto"/>
          <w:sz w:val="32"/>
          <w:szCs w:val="32"/>
          <w:lang w:eastAsia="zh-CN"/>
        </w:rPr>
        <w:t>20</w:t>
      </w:r>
      <w:r>
        <w:rPr>
          <w:rFonts w:hint="eastAsia" w:ascii="仿宋_GB2312" w:hAnsi="微软雅黑" w:eastAsia="仿宋_GB2312"/>
          <w:color w:val="auto"/>
          <w:sz w:val="32"/>
          <w:szCs w:val="32"/>
          <w:lang w:val="en-US" w:eastAsia="zh-CN"/>
        </w:rPr>
        <w:t>25</w:t>
      </w:r>
      <w:r>
        <w:rPr>
          <w:rFonts w:hint="eastAsia" w:ascii="仿宋_GB2312" w:hAnsi="微软雅黑" w:eastAsia="仿宋_GB2312"/>
          <w:color w:val="auto"/>
          <w:sz w:val="32"/>
          <w:szCs w:val="32"/>
        </w:rPr>
        <w:t>年，</w:t>
      </w:r>
      <w:r>
        <w:rPr>
          <w:rFonts w:hint="eastAsia" w:ascii="仿宋_GB2312" w:hAnsi="微软雅黑" w:eastAsia="仿宋_GB2312" w:cs="宋体"/>
          <w:color w:val="auto"/>
          <w:kern w:val="0"/>
          <w:sz w:val="32"/>
          <w:szCs w:val="32"/>
          <w:lang w:val="en-US" w:eastAsia="zh-CN" w:bidi="ar-SA"/>
        </w:rPr>
        <w:t>在区委、区政府的正确领导下，在区委全面依法治区委员会的指导帮助下，区林业局高度重视法治政府建设工作，认真落实省、市、区工作安排部署，始终把此项工作当作全局的中心工作，现将工作情况报告如下：</w:t>
      </w:r>
    </w:p>
    <w:p>
      <w:pPr>
        <w:tabs>
          <w:tab w:val="left" w:pos="600"/>
        </w:tabs>
        <w:ind w:firstLine="640" w:firstLineChars="200"/>
        <w:rPr>
          <w:rFonts w:hint="default" w:ascii="黑体" w:hAnsi="黑体" w:eastAsia="黑体" w:cs="黑体"/>
          <w:i w:val="0"/>
          <w:iCs w:val="0"/>
          <w:color w:val="000000"/>
          <w:spacing w:val="0"/>
          <w:kern w:val="0"/>
          <w:sz w:val="32"/>
          <w:szCs w:val="32"/>
          <w:shd w:val="clear" w:fill="FFFFFF"/>
          <w:lang w:val="en-US" w:eastAsia="zh-CN" w:bidi="ar-SA"/>
        </w:rPr>
      </w:pPr>
      <w:r>
        <w:rPr>
          <w:rFonts w:hint="eastAsia" w:ascii="黑体" w:hAnsi="黑体" w:eastAsia="黑体" w:cs="黑体"/>
          <w:i w:val="0"/>
          <w:iCs w:val="0"/>
          <w:color w:val="000000"/>
          <w:spacing w:val="0"/>
          <w:kern w:val="0"/>
          <w:sz w:val="32"/>
          <w:szCs w:val="32"/>
          <w:shd w:val="clear" w:fill="FFFFFF"/>
          <w:lang w:val="en-US" w:eastAsia="zh-CN" w:bidi="ar-SA"/>
        </w:rPr>
        <w:t>一、学习宣传贯彻习近平法治思想情况</w:t>
      </w:r>
    </w:p>
    <w:p>
      <w:pPr>
        <w:widowControl/>
        <w:shd w:val="clear" w:color="auto" w:fill="FFFFFF"/>
        <w:ind w:firstLine="640" w:firstLineChars="200"/>
        <w:rPr>
          <w:rFonts w:hint="eastAsia" w:ascii="仿宋_GB2312" w:hAnsi="微软雅黑" w:eastAsia="仿宋_GB2312" w:cs="宋体"/>
          <w:color w:val="auto"/>
          <w:kern w:val="0"/>
          <w:sz w:val="32"/>
          <w:szCs w:val="32"/>
          <w:lang w:val="en-US" w:eastAsia="zh-CN" w:bidi="ar-SA"/>
        </w:rPr>
      </w:pPr>
      <w:r>
        <w:rPr>
          <w:rFonts w:hint="eastAsia" w:ascii="仿宋_GB2312" w:hAnsi="微软雅黑" w:eastAsia="仿宋_GB2312"/>
          <w:color w:val="auto"/>
          <w:sz w:val="32"/>
          <w:szCs w:val="32"/>
        </w:rPr>
        <w:t>区林业局</w:t>
      </w:r>
      <w:r>
        <w:rPr>
          <w:rFonts w:hint="eastAsia" w:ascii="仿宋_GB2312" w:hAnsi="微软雅黑" w:eastAsia="仿宋_GB2312" w:cs="宋体"/>
          <w:color w:val="auto"/>
          <w:kern w:val="0"/>
          <w:sz w:val="32"/>
          <w:szCs w:val="32"/>
          <w:lang w:val="en-US" w:eastAsia="zh-CN" w:bidi="ar-SA"/>
        </w:rPr>
        <w:t>坚持以习近平新时代中国特色社会主义思想为指导，认真学习宣传贯彻习近平法治思想</w:t>
      </w:r>
      <w:r>
        <w:rPr>
          <w:rFonts w:ascii="仿宋_GB2312" w:hAnsi="微软雅黑" w:eastAsia="仿宋_GB2312"/>
          <w:color w:val="auto"/>
          <w:sz w:val="32"/>
          <w:szCs w:val="32"/>
        </w:rPr>
        <w:t>，全面推进林业法治政府建设工作</w:t>
      </w:r>
      <w:r>
        <w:rPr>
          <w:rFonts w:hint="eastAsia" w:ascii="仿宋_GB2312" w:hAnsi="微软雅黑" w:eastAsia="仿宋_GB2312"/>
          <w:color w:val="auto"/>
          <w:sz w:val="32"/>
          <w:szCs w:val="32"/>
          <w:lang w:eastAsia="zh-CN"/>
        </w:rPr>
        <w:t>。</w:t>
      </w:r>
      <w:r>
        <w:rPr>
          <w:rFonts w:ascii="仿宋_GB2312" w:hAnsi="微软雅黑" w:eastAsia="仿宋_GB2312" w:cs="宋体"/>
          <w:color w:val="auto"/>
          <w:kern w:val="0"/>
          <w:sz w:val="32"/>
          <w:szCs w:val="32"/>
        </w:rPr>
        <w:t>通过</w:t>
      </w:r>
      <w:r>
        <w:rPr>
          <w:rFonts w:hint="eastAsia" w:ascii="仿宋_GB2312" w:hAnsi="Arial" w:eastAsia="仿宋_GB2312" w:cs="Arial"/>
          <w:color w:val="auto"/>
          <w:sz w:val="32"/>
          <w:szCs w:val="32"/>
        </w:rPr>
        <w:t>党组理论学习中心组、党支部主题党日活动</w:t>
      </w:r>
      <w:r>
        <w:rPr>
          <w:rFonts w:hint="eastAsia" w:ascii="仿宋_GB2312" w:hAnsi="微软雅黑" w:eastAsia="仿宋_GB2312" w:cs="宋体"/>
          <w:color w:val="auto"/>
          <w:kern w:val="0"/>
          <w:sz w:val="32"/>
          <w:szCs w:val="32"/>
        </w:rPr>
        <w:t>以及“学习强国”“法宣在线”等平台</w:t>
      </w:r>
      <w:r>
        <w:rPr>
          <w:rFonts w:ascii="仿宋_GB2312" w:hAnsi="微软雅黑" w:eastAsia="仿宋_GB2312" w:cs="宋体"/>
          <w:color w:val="auto"/>
          <w:kern w:val="0"/>
          <w:sz w:val="32"/>
          <w:szCs w:val="32"/>
        </w:rPr>
        <w:t>，组织党员干部学习习近平法治思想，促进党员干部学法、守法、用法</w:t>
      </w:r>
      <w:r>
        <w:rPr>
          <w:rFonts w:hint="eastAsia" w:ascii="仿宋_GB2312" w:hAnsi="微软雅黑" w:eastAsia="仿宋_GB2312" w:cs="宋体"/>
          <w:color w:val="auto"/>
          <w:kern w:val="0"/>
          <w:sz w:val="32"/>
          <w:szCs w:val="32"/>
        </w:rPr>
        <w:t>。</w:t>
      </w:r>
      <w:r>
        <w:rPr>
          <w:rFonts w:hint="eastAsia" w:ascii="仿宋_GB2312" w:hAnsi="微软雅黑" w:eastAsia="仿宋_GB2312" w:cs="宋体"/>
          <w:color w:val="auto"/>
          <w:kern w:val="0"/>
          <w:sz w:val="32"/>
          <w:szCs w:val="32"/>
          <w:lang w:val="en-US" w:eastAsia="zh-CN" w:bidi="ar-SA"/>
        </w:rPr>
        <w:t>把法治理念、法治思维和法治原则贯穿到林业法治工作的全过程，不断强化法治建设意识，积极推进法治建设工作。</w:t>
      </w:r>
    </w:p>
    <w:p>
      <w:pPr>
        <w:numPr>
          <w:ilvl w:val="0"/>
          <w:numId w:val="1"/>
        </w:numPr>
        <w:tabs>
          <w:tab w:val="left" w:pos="600"/>
        </w:tabs>
        <w:ind w:firstLine="640" w:firstLineChars="200"/>
        <w:rPr>
          <w:rFonts w:hint="eastAsia" w:ascii="黑体" w:hAnsi="黑体" w:eastAsia="黑体" w:cs="黑体"/>
          <w:i w:val="0"/>
          <w:iCs w:val="0"/>
          <w:color w:val="000000"/>
          <w:spacing w:val="0"/>
          <w:kern w:val="0"/>
          <w:sz w:val="32"/>
          <w:szCs w:val="32"/>
          <w:shd w:val="clear" w:fill="FFFFFF"/>
          <w:lang w:val="en-US" w:eastAsia="zh-CN" w:bidi="ar-SA"/>
        </w:rPr>
      </w:pPr>
      <w:r>
        <w:rPr>
          <w:rFonts w:hint="eastAsia" w:ascii="黑体" w:hAnsi="黑体" w:eastAsia="黑体" w:cs="黑体"/>
          <w:i w:val="0"/>
          <w:iCs w:val="0"/>
          <w:color w:val="000000"/>
          <w:spacing w:val="0"/>
          <w:kern w:val="0"/>
          <w:sz w:val="32"/>
          <w:szCs w:val="32"/>
          <w:shd w:val="clear" w:fill="FFFFFF"/>
          <w:lang w:val="en-US" w:eastAsia="zh-CN" w:bidi="ar-SA"/>
        </w:rPr>
        <w:t>林业法治建设重点工作推进情况和法治惠民惠企办实事工作</w:t>
      </w:r>
    </w:p>
    <w:p>
      <w:pPr>
        <w:numPr>
          <w:ilvl w:val="0"/>
          <w:numId w:val="0"/>
        </w:numPr>
        <w:tabs>
          <w:tab w:val="left" w:pos="600"/>
        </w:tabs>
        <w:ind w:firstLine="640" w:firstLineChars="200"/>
        <w:rPr>
          <w:rFonts w:hint="eastAsia" w:ascii="华文楷体" w:hAnsi="华文楷体" w:eastAsia="华文楷体" w:cs="华文楷体"/>
          <w:kern w:val="0"/>
          <w:sz w:val="32"/>
          <w:szCs w:val="32"/>
          <w:lang w:val="en-US" w:eastAsia="zh-CN" w:bidi="ar-SA"/>
        </w:rPr>
      </w:pPr>
      <w:r>
        <w:rPr>
          <w:rFonts w:hint="eastAsia" w:ascii="华文楷体" w:hAnsi="华文楷体" w:eastAsia="华文楷体" w:cs="华文楷体"/>
          <w:kern w:val="0"/>
          <w:sz w:val="32"/>
          <w:szCs w:val="32"/>
          <w:lang w:val="en-US" w:eastAsia="zh-CN" w:bidi="ar-SA"/>
        </w:rPr>
        <w:t>（一）加强组织保障，全面推进法治政府建设。</w:t>
      </w:r>
      <w:r>
        <w:rPr>
          <w:rFonts w:hint="eastAsia" w:ascii="仿宋_GB2312" w:hAnsi="微软雅黑" w:eastAsia="仿宋_GB2312" w:cs="宋体"/>
          <w:color w:val="auto"/>
          <w:kern w:val="0"/>
          <w:sz w:val="32"/>
          <w:szCs w:val="32"/>
          <w:lang w:val="en-US" w:eastAsia="zh-CN" w:bidi="ar-SA"/>
        </w:rPr>
        <w:t>落实党政主要负责人履行推进法治政府建设第一责任人职责，充分发挥局党组在推进法治政府建设中的领导核心作用，将法治政府建设工作放在重要位置来抓，明确法治政府建设工作目标任务，着力构建“主要领导亲自抓、分管领导具体抓、一级抓一级，层层抓落实”的法治工作机制。</w:t>
      </w:r>
    </w:p>
    <w:p>
      <w:pPr>
        <w:widowControl/>
        <w:shd w:val="clear" w:color="auto" w:fill="FFFFFF"/>
        <w:ind w:firstLine="640" w:firstLineChars="200"/>
        <w:rPr>
          <w:rFonts w:hint="eastAsia" w:ascii="仿宋_GB2312" w:hAnsi="微软雅黑" w:eastAsia="仿宋_GB2312" w:cs="宋体"/>
          <w:color w:val="auto"/>
          <w:kern w:val="0"/>
          <w:sz w:val="32"/>
          <w:szCs w:val="32"/>
          <w:lang w:val="en-US" w:eastAsia="zh-CN" w:bidi="ar-SA"/>
        </w:rPr>
      </w:pPr>
      <w:r>
        <w:rPr>
          <w:rFonts w:hint="eastAsia" w:ascii="华文楷体" w:hAnsi="华文楷体" w:eastAsia="华文楷体" w:cs="华文楷体"/>
          <w:kern w:val="0"/>
          <w:sz w:val="32"/>
          <w:szCs w:val="32"/>
          <w:lang w:val="en-US" w:eastAsia="zh-CN" w:bidi="ar-SA"/>
        </w:rPr>
        <w:t>（二）严格推进依法决策落实落地。</w:t>
      </w:r>
      <w:r>
        <w:rPr>
          <w:rFonts w:hint="eastAsia" w:ascii="仿宋_GB2312" w:hAnsi="微软雅黑" w:eastAsia="仿宋_GB2312" w:cs="宋体"/>
          <w:color w:val="auto"/>
          <w:kern w:val="0"/>
          <w:sz w:val="32"/>
          <w:szCs w:val="32"/>
          <w:lang w:val="en-US" w:eastAsia="zh-CN" w:bidi="ar-SA"/>
        </w:rPr>
        <w:t>召开局党组会议集体研究解决在法治林业建设工作中出现的重大事项、重大决策，按照民主集中制原则形成最终决议，做到科学决策、民主决策、依法决策。做好规范性文件的合法性审查。按照有关规定，对规范性文件依法审核及清理。2025年，区林业局组织对规范性文件进行了清理，持续有效1件，拟废止0件。</w:t>
      </w:r>
    </w:p>
    <w:p>
      <w:pPr>
        <w:ind w:firstLine="640" w:firstLineChars="200"/>
        <w:rPr>
          <w:rFonts w:hint="eastAsia" w:ascii="仿宋_GB2312" w:hAnsi="微软雅黑" w:eastAsia="仿宋_GB2312" w:cs="宋体"/>
          <w:kern w:val="0"/>
          <w:sz w:val="32"/>
          <w:szCs w:val="32"/>
          <w:lang w:val="en-US" w:eastAsia="zh-CN" w:bidi="ar-SA"/>
        </w:rPr>
      </w:pPr>
      <w:r>
        <w:rPr>
          <w:rFonts w:hint="eastAsia" w:ascii="华文楷体" w:hAnsi="华文楷体" w:eastAsia="华文楷体" w:cs="华文楷体"/>
          <w:kern w:val="0"/>
          <w:sz w:val="32"/>
          <w:szCs w:val="32"/>
          <w:lang w:val="en-US" w:eastAsia="zh-CN" w:bidi="ar-SA"/>
        </w:rPr>
        <w:t>（三）严格规范公正文明执法。</w:t>
      </w:r>
      <w:r>
        <w:rPr>
          <w:rFonts w:hint="eastAsia" w:ascii="仿宋_GB2312" w:hAnsi="微软雅黑" w:eastAsia="仿宋_GB2312" w:cs="宋体"/>
          <w:kern w:val="0"/>
          <w:sz w:val="32"/>
          <w:szCs w:val="32"/>
          <w:lang w:val="en-US" w:eastAsia="zh-CN" w:bidi="ar-SA"/>
        </w:rPr>
        <w:t>严厉打击各类涉林违法行为，加大对乱砍滥伐、非法占用林地等违法行为的打击力度，维护森林资源安全。2025年，区林业局共办理林业行政案件共查处各种涉林行政违法案件85起，其中擅自改变林地用途案件34起，毁坏林地案件4起，毁坏林地案件9起，滥伐林木案件34起，滥伐林木案件3起，非法捕猎地方重点保护野生动物案件1起，擅自在森林防火区内野外用火案件1起。</w:t>
      </w:r>
    </w:p>
    <w:p>
      <w:pPr>
        <w:ind w:firstLine="640" w:firstLineChars="200"/>
        <w:rPr>
          <w:rFonts w:hint="eastAsia" w:ascii="仿宋_GB2312" w:hAnsi="微软雅黑" w:eastAsia="仿宋_GB2312" w:cs="宋体"/>
          <w:kern w:val="0"/>
          <w:sz w:val="32"/>
          <w:szCs w:val="32"/>
          <w:lang w:val="en-US" w:eastAsia="zh-CN" w:bidi="ar-SA"/>
        </w:rPr>
      </w:pPr>
      <w:r>
        <w:rPr>
          <w:rFonts w:hint="eastAsia" w:ascii="华文楷体" w:hAnsi="华文楷体" w:eastAsia="华文楷体" w:cs="华文楷体"/>
          <w:kern w:val="0"/>
          <w:sz w:val="32"/>
          <w:szCs w:val="32"/>
          <w:lang w:val="en-US" w:eastAsia="zh-CN" w:bidi="ar-SA"/>
        </w:rPr>
        <w:t>（四）强化行政执法培训助推执法能力提升。</w:t>
      </w:r>
      <w:r>
        <w:rPr>
          <w:rFonts w:hint="eastAsia" w:ascii="仿宋_GB2312" w:hAnsi="微软雅黑" w:eastAsia="仿宋_GB2312" w:cs="宋体"/>
          <w:color w:val="auto"/>
          <w:kern w:val="0"/>
          <w:sz w:val="32"/>
          <w:szCs w:val="32"/>
          <w:lang w:val="en-US" w:eastAsia="zh-CN" w:bidi="ar-SA"/>
        </w:rPr>
        <w:t>区林业局通过组织林业行政执法人员参加上级举办的培训、召开案审会“以案释法”以及“学习强国”“国家工作人员学法用法及考试平台”等线上平台的方式，学习《中华人民共和国行政处罚法》《中华人民共和国森林法》《中华人民共和国湿地保护法》《中华人民共和国野生动物保护法》等林业法律法规，不断提升林业行政执法人员的业务能力和执法水平。2025年，区林业局新申领行政执法证件1人。</w:t>
      </w:r>
    </w:p>
    <w:p>
      <w:pPr>
        <w:pStyle w:val="7"/>
        <w:shd w:val="clear" w:color="auto" w:fill="FFFFFF"/>
        <w:spacing w:before="0" w:beforeAutospacing="0" w:after="0" w:afterAutospacing="0"/>
        <w:ind w:firstLine="640" w:firstLineChars="200"/>
        <w:rPr>
          <w:rFonts w:hint="eastAsia" w:ascii="仿宋_GB2312" w:hAnsi="微软雅黑" w:eastAsia="仿宋_GB2312" w:cs="宋体"/>
          <w:color w:val="auto"/>
          <w:kern w:val="0"/>
          <w:sz w:val="32"/>
          <w:szCs w:val="32"/>
          <w:lang w:val="en-US" w:eastAsia="zh-CN" w:bidi="ar-SA"/>
        </w:rPr>
      </w:pPr>
      <w:r>
        <w:rPr>
          <w:rFonts w:hint="eastAsia" w:ascii="华文楷体" w:hAnsi="华文楷体" w:eastAsia="华文楷体" w:cs="华文楷体"/>
          <w:kern w:val="0"/>
          <w:sz w:val="32"/>
          <w:szCs w:val="32"/>
          <w:lang w:val="en-US" w:eastAsia="zh-CN" w:bidi="ar-SA"/>
        </w:rPr>
        <w:t>（五）落实“谁执法谁普法”责任制。</w:t>
      </w:r>
      <w:r>
        <w:rPr>
          <w:rFonts w:hint="eastAsia" w:ascii="仿宋_GB2312" w:hAnsi="微软雅黑" w:eastAsia="仿宋_GB2312" w:cs="宋体"/>
          <w:color w:val="auto"/>
          <w:kern w:val="0"/>
          <w:sz w:val="32"/>
          <w:szCs w:val="32"/>
          <w:lang w:val="en-US" w:eastAsia="zh-CN" w:bidi="ar-SA"/>
        </w:rPr>
        <w:t>将普法教育贯穿于行政检查全过程，引导企业和群众依法经营、自觉守法，努力预防和化解违法风险。区林业局充分利用横幅、宣传展板等传统传媒形式以及“曾都发布”、曾都区人民政府官网等线上渠道，大力宣传林业法律法规，重点对《中华人民共和国森林法》《中华人民共和国野生动物保护法》《中华人民共和国湿地保护法》《湖北省天然林保护条例》《湖北省古树名木保护管理办法》等法律法规进行广泛宣传教育，有效提升了广大群众对林业法律法规的知晓度和生态保护意识,为法治社会建设营造了良好氛围。</w:t>
      </w:r>
    </w:p>
    <w:p>
      <w:pPr>
        <w:ind w:firstLine="640" w:firstLineChars="200"/>
        <w:rPr>
          <w:rFonts w:ascii="仿宋_GB2312" w:hAnsi="宋体" w:eastAsia="仿宋_GB2312"/>
          <w:color w:val="auto"/>
          <w:sz w:val="32"/>
          <w:szCs w:val="32"/>
        </w:rPr>
      </w:pPr>
      <w:r>
        <w:rPr>
          <w:rFonts w:hint="eastAsia" w:ascii="华文楷体" w:hAnsi="华文楷体" w:eastAsia="华文楷体" w:cs="华文楷体"/>
          <w:kern w:val="0"/>
          <w:sz w:val="32"/>
          <w:szCs w:val="32"/>
          <w:lang w:val="en-US" w:eastAsia="zh-CN" w:bidi="ar-SA"/>
        </w:rPr>
        <w:t>（六）法治惠民惠企办实事情况。</w:t>
      </w:r>
      <w:r>
        <w:rPr>
          <w:rFonts w:hint="eastAsia" w:ascii="仿宋" w:hAnsi="仿宋" w:eastAsia="仿宋" w:cs="仿宋"/>
          <w:color w:val="auto"/>
          <w:sz w:val="32"/>
          <w:szCs w:val="32"/>
          <w:shd w:val="clear" w:color="auto" w:fill="FFFFFF"/>
          <w:lang w:val="en-US" w:eastAsia="zh-CN"/>
        </w:rPr>
        <w:t>区林业</w:t>
      </w:r>
      <w:r>
        <w:rPr>
          <w:rFonts w:hint="eastAsia" w:ascii="仿宋" w:hAnsi="仿宋" w:eastAsia="仿宋" w:cs="仿宋"/>
          <w:color w:val="auto"/>
          <w:sz w:val="32"/>
          <w:szCs w:val="32"/>
          <w:shd w:val="clear" w:color="auto" w:fill="FFFFFF"/>
        </w:rPr>
        <w:t>局坚持以积极优化企业营商环境为主题，积极靠前服务，全力支持企业经营发展，努力创造优质的林业服务环境，为企业发展提供要素保障。一是严格规范</w:t>
      </w:r>
      <w:r>
        <w:rPr>
          <w:rFonts w:hint="eastAsia" w:ascii="仿宋" w:hAnsi="仿宋" w:eastAsia="仿宋" w:cs="仿宋"/>
          <w:color w:val="auto"/>
          <w:sz w:val="32"/>
          <w:szCs w:val="32"/>
          <w:shd w:val="clear" w:color="auto" w:fill="FFFFFF"/>
          <w:lang w:val="en-US" w:eastAsia="zh-CN"/>
        </w:rPr>
        <w:t>涉企</w:t>
      </w:r>
      <w:r>
        <w:rPr>
          <w:rFonts w:hint="eastAsia" w:ascii="仿宋" w:hAnsi="仿宋" w:eastAsia="仿宋" w:cs="仿宋"/>
          <w:color w:val="auto"/>
          <w:sz w:val="32"/>
          <w:szCs w:val="32"/>
          <w:shd w:val="clear" w:color="auto" w:fill="FFFFFF"/>
        </w:rPr>
        <w:t>行政执法</w:t>
      </w:r>
      <w:r>
        <w:rPr>
          <w:rFonts w:hint="eastAsia" w:ascii="仿宋" w:hAnsi="仿宋" w:eastAsia="仿宋" w:cs="仿宋"/>
          <w:color w:val="auto"/>
          <w:sz w:val="32"/>
          <w:szCs w:val="32"/>
          <w:shd w:val="clear" w:color="auto" w:fill="FFFFFF"/>
          <w:lang w:eastAsia="zh-CN"/>
        </w:rPr>
        <w:t>，</w:t>
      </w:r>
      <w:r>
        <w:rPr>
          <w:rFonts w:hint="eastAsia" w:ascii="仿宋" w:hAnsi="仿宋" w:eastAsia="仿宋" w:cs="仿宋"/>
          <w:color w:val="auto"/>
          <w:sz w:val="32"/>
          <w:szCs w:val="32"/>
          <w:shd w:val="clear" w:color="auto" w:fill="FFFFFF"/>
        </w:rPr>
        <w:t>既保证必要的覆盖面和监管力度，又防止过度执法</w:t>
      </w:r>
      <w:r>
        <w:rPr>
          <w:rFonts w:hint="eastAsia" w:ascii="仿宋" w:hAnsi="仿宋" w:eastAsia="仿宋" w:cs="仿宋"/>
          <w:color w:val="auto"/>
          <w:sz w:val="32"/>
          <w:szCs w:val="32"/>
          <w:shd w:val="clear" w:color="auto" w:fill="FFFFFF"/>
          <w:lang w:eastAsia="zh-CN"/>
        </w:rPr>
        <w:t>，</w:t>
      </w:r>
      <w:r>
        <w:rPr>
          <w:rFonts w:hint="eastAsia" w:ascii="仿宋" w:hAnsi="仿宋" w:eastAsia="仿宋" w:cs="仿宋"/>
          <w:color w:val="auto"/>
          <w:spacing w:val="0"/>
          <w:sz w:val="32"/>
          <w:szCs w:val="32"/>
          <w:shd w:val="clear" w:color="auto" w:fill="FFFFFF"/>
        </w:rPr>
        <w:t>为营造良好市场环境提供有力法治保障。</w:t>
      </w:r>
      <w:r>
        <w:rPr>
          <w:rFonts w:hint="eastAsia" w:ascii="仿宋" w:hAnsi="仿宋" w:eastAsia="仿宋" w:cs="仿宋"/>
          <w:color w:val="auto"/>
          <w:sz w:val="32"/>
          <w:szCs w:val="32"/>
          <w:shd w:val="clear" w:color="auto" w:fill="FFFFFF"/>
        </w:rPr>
        <w:t>二是减少对企业的各类检查活动，严禁各种随意检查、重复检查，切实减轻企业负担，让企业轻装上阵，激发市场活力。</w:t>
      </w:r>
    </w:p>
    <w:p>
      <w:pPr>
        <w:tabs>
          <w:tab w:val="left" w:pos="600"/>
        </w:tabs>
        <w:ind w:firstLine="640" w:firstLineChars="200"/>
        <w:rPr>
          <w:rFonts w:hint="eastAsia" w:ascii="黑体" w:hAnsi="黑体" w:eastAsia="黑体" w:cs="黑体"/>
          <w:i w:val="0"/>
          <w:iCs w:val="0"/>
          <w:color w:val="000000"/>
          <w:spacing w:val="0"/>
          <w:kern w:val="0"/>
          <w:sz w:val="32"/>
          <w:szCs w:val="32"/>
          <w:shd w:val="clear" w:fill="FFFFFF"/>
          <w:lang w:val="en-US" w:eastAsia="zh-CN" w:bidi="ar-SA"/>
        </w:rPr>
      </w:pPr>
      <w:r>
        <w:rPr>
          <w:rFonts w:hint="eastAsia" w:ascii="黑体" w:hAnsi="黑体" w:eastAsia="黑体" w:cs="黑体"/>
          <w:i w:val="0"/>
          <w:iCs w:val="0"/>
          <w:color w:val="000000"/>
          <w:spacing w:val="0"/>
          <w:kern w:val="0"/>
          <w:sz w:val="32"/>
          <w:szCs w:val="32"/>
          <w:shd w:val="clear" w:fill="FFFFFF"/>
          <w:lang w:val="en-US" w:eastAsia="zh-CN" w:bidi="ar-SA"/>
        </w:rPr>
        <w:t>三、对2026年需要纳入依法治区工作要点内容的意见建议</w:t>
      </w:r>
    </w:p>
    <w:p>
      <w:pPr>
        <w:tabs>
          <w:tab w:val="left" w:pos="857"/>
        </w:tabs>
        <w:bidi w:val="0"/>
        <w:ind w:firstLine="640" w:firstLineChars="200"/>
        <w:jc w:val="left"/>
        <w:rPr>
          <w:rFonts w:hint="eastAsia" w:ascii="仿宋" w:hAnsi="仿宋" w:eastAsia="仿宋" w:cs="仿宋"/>
          <w:color w:val="auto"/>
          <w:kern w:val="2"/>
          <w:sz w:val="32"/>
          <w:szCs w:val="32"/>
          <w:shd w:val="clear" w:color="auto" w:fill="FFFFFF"/>
          <w:lang w:val="en-US" w:eastAsia="zh-CN" w:bidi="ar-SA"/>
        </w:rPr>
      </w:pPr>
      <w:r>
        <w:rPr>
          <w:rFonts w:hint="eastAsia" w:ascii="华文楷体" w:hAnsi="华文楷体" w:eastAsia="华文楷体" w:cs="华文楷体"/>
          <w:kern w:val="0"/>
          <w:sz w:val="32"/>
          <w:szCs w:val="32"/>
          <w:lang w:val="en-US" w:eastAsia="zh-CN" w:bidi="ar-SA"/>
        </w:rPr>
        <w:t>（一）进一步提升行政执法水平。</w:t>
      </w:r>
      <w:r>
        <w:rPr>
          <w:rFonts w:hint="eastAsia" w:ascii="仿宋" w:hAnsi="仿宋" w:eastAsia="仿宋" w:cs="仿宋"/>
          <w:color w:val="auto"/>
          <w:kern w:val="2"/>
          <w:sz w:val="32"/>
          <w:szCs w:val="32"/>
          <w:shd w:val="clear" w:color="auto" w:fill="FFFFFF"/>
          <w:lang w:val="en-US" w:eastAsia="zh-CN" w:bidi="ar-SA"/>
        </w:rPr>
        <w:t>加强行政执法队伍建设，提高行政执法队伍的法律素质，按照基层行政执法人员的实际工作需求有针对性地开展法制培训，不断提高行政执法人员素质，提高依法行政能力。</w:t>
      </w:r>
    </w:p>
    <w:p>
      <w:pPr>
        <w:tabs>
          <w:tab w:val="left" w:pos="600"/>
        </w:tabs>
        <w:ind w:firstLine="640" w:firstLineChars="200"/>
        <w:rPr>
          <w:rFonts w:hint="eastAsia" w:ascii="仿宋" w:hAnsi="仿宋" w:eastAsia="仿宋" w:cs="仿宋"/>
          <w:color w:val="auto"/>
          <w:kern w:val="2"/>
          <w:sz w:val="32"/>
          <w:szCs w:val="32"/>
          <w:shd w:val="clear" w:color="auto" w:fill="FFFFFF"/>
          <w:lang w:val="en-US" w:eastAsia="zh-CN" w:bidi="ar-SA"/>
        </w:rPr>
      </w:pPr>
      <w:r>
        <w:rPr>
          <w:rFonts w:hint="eastAsia" w:ascii="华文楷体" w:hAnsi="华文楷体" w:eastAsia="华文楷体" w:cs="华文楷体"/>
          <w:kern w:val="0"/>
          <w:sz w:val="32"/>
          <w:szCs w:val="32"/>
          <w:lang w:val="en-US" w:eastAsia="zh-CN" w:bidi="ar-SA"/>
        </w:rPr>
        <w:t>（二）进一步增强法治宣传教育。</w:t>
      </w:r>
      <w:r>
        <w:rPr>
          <w:rFonts w:hint="eastAsia" w:ascii="仿宋" w:hAnsi="仿宋" w:eastAsia="仿宋" w:cs="仿宋"/>
          <w:color w:val="auto"/>
          <w:kern w:val="2"/>
          <w:sz w:val="32"/>
          <w:szCs w:val="32"/>
          <w:shd w:val="clear" w:color="auto" w:fill="FFFFFF"/>
          <w:lang w:val="en-US" w:eastAsia="zh-CN" w:bidi="ar-SA"/>
        </w:rPr>
        <w:t>创新法治宣传教育的方式方法，充分利用新媒体、新技术，开展形式多样、内容丰富的法治宣传教育活动，推动法治文化的深入人心，确保法治建设工作不断向前推进。</w:t>
      </w:r>
    </w:p>
    <w:p>
      <w:pPr>
        <w:tabs>
          <w:tab w:val="left" w:pos="600"/>
        </w:tabs>
        <w:ind w:firstLine="640" w:firstLineChars="200"/>
        <w:rPr>
          <w:rFonts w:hint="default" w:ascii="黑体" w:hAnsi="黑体" w:eastAsia="黑体" w:cs="黑体"/>
          <w:i w:val="0"/>
          <w:iCs w:val="0"/>
          <w:color w:val="000000"/>
          <w:spacing w:val="0"/>
          <w:kern w:val="0"/>
          <w:sz w:val="32"/>
          <w:szCs w:val="32"/>
          <w:shd w:val="clear" w:fill="FFFFFF"/>
          <w:lang w:val="en-US" w:eastAsia="zh-CN" w:bidi="ar-SA"/>
        </w:rPr>
      </w:pPr>
      <w:r>
        <w:rPr>
          <w:rFonts w:hint="eastAsia" w:ascii="黑体" w:hAnsi="黑体" w:eastAsia="黑体" w:cs="黑体"/>
          <w:i w:val="0"/>
          <w:iCs w:val="0"/>
          <w:color w:val="000000"/>
          <w:spacing w:val="0"/>
          <w:kern w:val="0"/>
          <w:sz w:val="32"/>
          <w:szCs w:val="32"/>
          <w:shd w:val="clear" w:fill="FFFFFF"/>
          <w:lang w:val="en-US" w:eastAsia="zh-CN" w:bidi="ar-SA"/>
        </w:rPr>
        <w:t>四、提请区委全面依法治区委员会会议审议的事项。</w:t>
      </w:r>
    </w:p>
    <w:p>
      <w:pPr>
        <w:tabs>
          <w:tab w:val="left" w:pos="600"/>
        </w:tabs>
        <w:ind w:firstLine="640" w:firstLineChars="200"/>
        <w:rPr>
          <w:rFonts w:hint="default" w:ascii="仿宋_GB2312" w:hAnsi="宋体" w:eastAsia="仿宋_GB2312" w:cs="仿宋_GB2312"/>
          <w:i w:val="0"/>
          <w:iCs w:val="0"/>
          <w:color w:val="000000"/>
          <w:spacing w:val="0"/>
          <w:kern w:val="0"/>
          <w:sz w:val="32"/>
          <w:szCs w:val="32"/>
          <w:shd w:val="clear" w:fill="FFFFFF"/>
          <w:lang w:val="en-US" w:eastAsia="zh-CN" w:bidi="ar-SA"/>
        </w:rPr>
      </w:pPr>
      <w:r>
        <w:rPr>
          <w:rFonts w:hint="eastAsia" w:ascii="仿宋_GB2312" w:hAnsi="宋体" w:eastAsia="仿宋_GB2312" w:cs="仿宋_GB2312"/>
          <w:i w:val="0"/>
          <w:iCs w:val="0"/>
          <w:color w:val="000000"/>
          <w:spacing w:val="0"/>
          <w:kern w:val="0"/>
          <w:sz w:val="32"/>
          <w:szCs w:val="32"/>
          <w:shd w:val="clear" w:fill="FFFFFF"/>
          <w:lang w:val="en-US" w:eastAsia="zh-CN" w:bidi="ar-SA"/>
        </w:rPr>
        <w:t>无。</w:t>
      </w:r>
    </w:p>
    <w:p>
      <w:pPr>
        <w:widowControl/>
        <w:shd w:val="clear" w:color="auto" w:fill="FFFFFF"/>
        <w:jc w:val="left"/>
        <w:rPr>
          <w:rFonts w:hint="eastAsia" w:ascii="仿宋_GB2312" w:hAnsi="微软雅黑" w:eastAsia="仿宋_GB2312"/>
          <w:sz w:val="32"/>
          <w:szCs w:val="32"/>
        </w:rPr>
      </w:pPr>
      <w:r>
        <w:rPr>
          <w:rFonts w:hint="eastAsia" w:ascii="仿宋_GB2312" w:hAnsi="微软雅黑" w:eastAsia="仿宋_GB2312"/>
          <w:sz w:val="32"/>
          <w:szCs w:val="32"/>
        </w:rPr>
        <w:t>      </w:t>
      </w:r>
    </w:p>
    <w:p>
      <w:pPr>
        <w:ind w:firstLine="5120" w:firstLineChars="1600"/>
        <w:rPr>
          <w:rFonts w:ascii="仿宋_GB2312" w:eastAsia="仿宋_GB2312"/>
          <w:sz w:val="32"/>
          <w:szCs w:val="32"/>
        </w:rPr>
      </w:pPr>
    </w:p>
    <w:sectPr>
      <w:footerReference r:id="rId3" w:type="default"/>
      <w:pgSz w:w="11906" w:h="16838"/>
      <w:pgMar w:top="2098" w:right="1474" w:bottom="181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等线">
    <w:altName w:val="华文中宋"/>
    <w:panose1 w:val="00000000000000000000"/>
    <w:charset w:val="00"/>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88671086"/>
      <w:docPartObj>
        <w:docPartGallery w:val="autotext"/>
      </w:docPartObj>
    </w:sdtPr>
    <w:sdtContent>
      <w:p>
        <w:pPr>
          <w:pStyle w:val="5"/>
          <w:jc w:val="center"/>
        </w:pPr>
        <w:r>
          <w:fldChar w:fldCharType="begin"/>
        </w:r>
        <w:r>
          <w:instrText xml:space="preserve">PAGE   \* MERGEFORMAT</w:instrText>
        </w:r>
        <w:r>
          <w:fldChar w:fldCharType="separate"/>
        </w:r>
        <w:r>
          <w:rPr>
            <w:lang w:val="zh-CN"/>
          </w:rPr>
          <w:t>4</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2490AC"/>
    <w:multiLevelType w:val="singleLevel"/>
    <w:tmpl w:val="D72490A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2F9"/>
    <w:rsid w:val="00020BEC"/>
    <w:rsid w:val="00030E0F"/>
    <w:rsid w:val="0005347F"/>
    <w:rsid w:val="00054084"/>
    <w:rsid w:val="000778AB"/>
    <w:rsid w:val="000C1026"/>
    <w:rsid w:val="000C1BB8"/>
    <w:rsid w:val="000E6991"/>
    <w:rsid w:val="00104EDC"/>
    <w:rsid w:val="001814F7"/>
    <w:rsid w:val="00197BD6"/>
    <w:rsid w:val="001A663E"/>
    <w:rsid w:val="002502F9"/>
    <w:rsid w:val="00291C77"/>
    <w:rsid w:val="002979B6"/>
    <w:rsid w:val="002C6036"/>
    <w:rsid w:val="002C778B"/>
    <w:rsid w:val="002D540C"/>
    <w:rsid w:val="002E6956"/>
    <w:rsid w:val="00313754"/>
    <w:rsid w:val="00323E95"/>
    <w:rsid w:val="0033758C"/>
    <w:rsid w:val="003A0166"/>
    <w:rsid w:val="00402585"/>
    <w:rsid w:val="00442A63"/>
    <w:rsid w:val="00452BD9"/>
    <w:rsid w:val="004560AF"/>
    <w:rsid w:val="00460CD2"/>
    <w:rsid w:val="00485249"/>
    <w:rsid w:val="00487A7D"/>
    <w:rsid w:val="004A7393"/>
    <w:rsid w:val="004C20E5"/>
    <w:rsid w:val="005055AD"/>
    <w:rsid w:val="00506F05"/>
    <w:rsid w:val="00525036"/>
    <w:rsid w:val="005A0A3F"/>
    <w:rsid w:val="005A0ACE"/>
    <w:rsid w:val="005D661A"/>
    <w:rsid w:val="005F0113"/>
    <w:rsid w:val="005F0E10"/>
    <w:rsid w:val="00632165"/>
    <w:rsid w:val="00647D3B"/>
    <w:rsid w:val="00667B90"/>
    <w:rsid w:val="00684CFF"/>
    <w:rsid w:val="0069262B"/>
    <w:rsid w:val="006F46A8"/>
    <w:rsid w:val="007158B6"/>
    <w:rsid w:val="0073667A"/>
    <w:rsid w:val="00737A5F"/>
    <w:rsid w:val="00745A51"/>
    <w:rsid w:val="007704DD"/>
    <w:rsid w:val="007743A4"/>
    <w:rsid w:val="007B72DD"/>
    <w:rsid w:val="007D615A"/>
    <w:rsid w:val="00815AD6"/>
    <w:rsid w:val="00822045"/>
    <w:rsid w:val="0086109E"/>
    <w:rsid w:val="00875A3A"/>
    <w:rsid w:val="00883467"/>
    <w:rsid w:val="008B2C2B"/>
    <w:rsid w:val="008B6C70"/>
    <w:rsid w:val="008E0794"/>
    <w:rsid w:val="008F061F"/>
    <w:rsid w:val="00921109"/>
    <w:rsid w:val="00991551"/>
    <w:rsid w:val="009B1FEC"/>
    <w:rsid w:val="00A155C8"/>
    <w:rsid w:val="00A23F1A"/>
    <w:rsid w:val="00A32D35"/>
    <w:rsid w:val="00A663D7"/>
    <w:rsid w:val="00A97263"/>
    <w:rsid w:val="00AA109B"/>
    <w:rsid w:val="00AC0D2D"/>
    <w:rsid w:val="00AE6ACD"/>
    <w:rsid w:val="00B30846"/>
    <w:rsid w:val="00B332DF"/>
    <w:rsid w:val="00B47194"/>
    <w:rsid w:val="00B54B14"/>
    <w:rsid w:val="00B668F7"/>
    <w:rsid w:val="00B706D3"/>
    <w:rsid w:val="00B72BEE"/>
    <w:rsid w:val="00BC2AAC"/>
    <w:rsid w:val="00BC3524"/>
    <w:rsid w:val="00BD31FD"/>
    <w:rsid w:val="00C020BD"/>
    <w:rsid w:val="00C20EB9"/>
    <w:rsid w:val="00C23809"/>
    <w:rsid w:val="00C3035D"/>
    <w:rsid w:val="00C53716"/>
    <w:rsid w:val="00C65A0C"/>
    <w:rsid w:val="00C9401D"/>
    <w:rsid w:val="00CA7869"/>
    <w:rsid w:val="00CB2036"/>
    <w:rsid w:val="00CB3C62"/>
    <w:rsid w:val="00D600FF"/>
    <w:rsid w:val="00D61915"/>
    <w:rsid w:val="00D7634F"/>
    <w:rsid w:val="00DF1326"/>
    <w:rsid w:val="00E17DAB"/>
    <w:rsid w:val="00E77EF1"/>
    <w:rsid w:val="00E91D7D"/>
    <w:rsid w:val="00EA1760"/>
    <w:rsid w:val="00EB62F9"/>
    <w:rsid w:val="00EE1457"/>
    <w:rsid w:val="00F56BC2"/>
    <w:rsid w:val="00F60ED9"/>
    <w:rsid w:val="00F67B13"/>
    <w:rsid w:val="00F75176"/>
    <w:rsid w:val="00F8406A"/>
    <w:rsid w:val="00FD7BD7"/>
    <w:rsid w:val="13916645"/>
    <w:rsid w:val="2B8A1528"/>
    <w:rsid w:val="2DBC6792"/>
    <w:rsid w:val="32FA47C8"/>
    <w:rsid w:val="33586B47"/>
    <w:rsid w:val="38004813"/>
    <w:rsid w:val="429F50E7"/>
    <w:rsid w:val="43601A0D"/>
    <w:rsid w:val="508F3931"/>
    <w:rsid w:val="55801A9A"/>
    <w:rsid w:val="559F313A"/>
    <w:rsid w:val="5AE87215"/>
    <w:rsid w:val="6F4949B8"/>
    <w:rsid w:val="6F9DB7CB"/>
    <w:rsid w:val="6FCD47AD"/>
    <w:rsid w:val="73530396"/>
    <w:rsid w:val="73A758D2"/>
    <w:rsid w:val="765F57ED"/>
    <w:rsid w:val="766358BA"/>
    <w:rsid w:val="781225CE"/>
    <w:rsid w:val="7AEF4E49"/>
    <w:rsid w:val="7C0345C3"/>
    <w:rsid w:val="7C556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unhideWhenUsed="0" w:uiPriority="99"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link w:val="13"/>
    <w:semiHidden/>
    <w:unhideWhenUsed/>
    <w:qFormat/>
    <w:uiPriority w:val="99"/>
    <w:pPr>
      <w:ind w:left="100" w:leftChars="25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日期 字符"/>
    <w:basedOn w:val="9"/>
    <w:link w:val="3"/>
    <w:semiHidden/>
    <w:qFormat/>
    <w:uiPriority w:val="99"/>
  </w:style>
  <w:style w:type="paragraph" w:customStyle="1" w:styleId="14">
    <w:name w:val="b-free-read-leaf"/>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5">
    <w:name w:val="批注框文本 字符"/>
    <w:basedOn w:val="9"/>
    <w:link w:val="4"/>
    <w:semiHidden/>
    <w:qFormat/>
    <w:uiPriority w:val="99"/>
    <w:rPr>
      <w:sz w:val="18"/>
      <w:szCs w:val="18"/>
    </w:rPr>
  </w:style>
  <w:style w:type="character" w:customStyle="1" w:styleId="16">
    <w:name w:val="标题 1 字符"/>
    <w:basedOn w:val="9"/>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1689</Words>
  <Characters>1715</Characters>
  <Lines>14</Lines>
  <Paragraphs>4</Paragraphs>
  <TotalTime>27</TotalTime>
  <ScaleCrop>false</ScaleCrop>
  <LinksUpToDate>false</LinksUpToDate>
  <CharactersWithSpaces>1715</CharactersWithSpaces>
  <Application>WPS Office_11.8.2.1123_F1E327BC-269C-435d-A152-05C5408002CA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2022-12-21T10:58:00Z</dcterms:created>
  <dc:creator>Mr zizi</dc:creator>
  <cp:lastModifiedBy>lyj</cp:lastModifiedBy>
  <dcterms:modified xsi:type="dcterms:W3CDTF">2026-02-13T14:45:59Z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eyJoZGlkIjoiNzk5ZGViZmM0YTIwZWZmMGRlYTFiOWE1ODAxZjQyODUifQ==</vt:lpwstr>
  </property>
  <property fmtid="{D5CDD505-2E9C-101B-9397-08002B2CF9AE}" pid="3" name="KSOProductBuildVer">
    <vt:lpwstr>2052-11.8.2.1123</vt:lpwstr>
  </property>
  <property fmtid="{D5CDD505-2E9C-101B-9397-08002B2CF9AE}" pid="4" name="ICV">
    <vt:lpwstr>1618746B85AE4C678EA947656EC9719C_12</vt:lpwstr>
  </property>
</Properties>
</file>