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512"/>
        <w:gridCol w:w="3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发改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局现行有效的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规范性文件目录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文件名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随州市曾都区公共资源交易管理委员会办公室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印发《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关于开展工程建设项目招标计划提前发布工作的通知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随州市曾都区公共资源交易监督管理局关于印发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曾都区工程建设招标投标领域营商环境负面行为清单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的通知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曾公管文〔2023〕1号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</w:rPr>
              <w:t>随州市曾都区公共资源交易管理委员会关于印发《曾都区公共资源交易管理委员会成员单位权责清单》的通知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曾公管委发〔2023〕4号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E5877"/>
    <w:rsid w:val="0B7F437B"/>
    <w:rsid w:val="6C7D357B"/>
    <w:rsid w:val="6DBEB8FC"/>
    <w:rsid w:val="6FF7B0CE"/>
    <w:rsid w:val="7FCE5877"/>
    <w:rsid w:val="BB6DC560"/>
    <w:rsid w:val="C4DF356D"/>
    <w:rsid w:val="CEF7796D"/>
    <w:rsid w:val="E6FFB416"/>
    <w:rsid w:val="EEFEDD3E"/>
    <w:rsid w:val="FD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2025-03-11T06:32:00Z</dcterms:created>
  <dc:creator>晚安</dc:creator>
  <cp:lastModifiedBy>user</cp:lastModifiedBy>
  <dcterms:modified xsi:type="dcterms:W3CDTF">2025-05-08T16:08:18Z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08D5A4AAADF948B0AD24503C440514BB_11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