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附件1：（参考样本） 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信用保证金来源承诺函</w:t>
      </w:r>
    </w:p>
    <w:p>
      <w:pPr>
        <w:spacing w:line="600" w:lineRule="exact"/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曾都区粮食收购信用保证基金领导小组办公室：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根据《曾都区粮食市场化收购贷款信用保证基金管理实施办法》，我司在中国农业发展银行随州市分行申请贷款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万元，并按单笔缴存不低于贷款额10%的比例于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日向基金账户缴存了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万元信用保证金，并郑重承诺：该笔资金来源于我司权益性自有资金，不涉及贷款资金、介入资金、职工借款、社会集资、预收货款等非企业自有资金。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spacing w:line="600" w:lineRule="exact"/>
      </w:pPr>
    </w:p>
    <w:p>
      <w:pPr>
        <w:spacing w:line="600" w:lineRule="exact"/>
        <w:ind w:firstLine="5120" w:firstLineChars="1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申请人（盖章）：</w:t>
      </w:r>
    </w:p>
    <w:p>
      <w:pPr>
        <w:spacing w:line="60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600" w:lineRule="exact"/>
        <w:ind w:firstLine="640"/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附件2：（参考样本）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借款合同终止函</w:t>
      </w:r>
    </w:p>
    <w:p>
      <w:pPr>
        <w:spacing w:line="60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编号：JKHTZZH-42139901-###</w:t>
      </w:r>
    </w:p>
    <w:p>
      <w:pPr>
        <w:pStyle w:val="3"/>
        <w:spacing w:line="600" w:lineRule="exact"/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曾都区粮食收购信用保证基金领导小组办公室：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我行于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日与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（借款人）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签订了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（合同编号）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《流动资金借款合同》，该借款合同项下的贷款本息已于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日结清，原合同约定的双方权利义务终止。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特出此函。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中国农业发展银行随州市分行</w:t>
      </w:r>
    </w:p>
    <w:p>
      <w:pPr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年   月    日</w:t>
      </w:r>
    </w:p>
    <w:p>
      <w:pPr>
        <w:spacing w:line="600" w:lineRule="exact"/>
        <w:rPr>
          <w:rFonts w:ascii="华文中宋" w:hAnsi="华文中宋" w:eastAsia="华文中宋" w:cs="华文中宋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600" w:lineRule="exact"/>
        <w:ind w:firstLine="640"/>
      </w:pPr>
    </w:p>
    <w:p>
      <w:pPr>
        <w:pStyle w:val="4"/>
        <w:ind w:left="0" w:leftChars="0" w:firstLine="0" w:firstLineChars="0"/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附件3：（参考样本）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曾都区信用保证基金贷款客户准入审核表</w:t>
      </w:r>
    </w:p>
    <w:p>
      <w:pPr>
        <w:spacing w:line="620" w:lineRule="exact"/>
        <w:ind w:firstLine="3990" w:firstLineChars="1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Cs w:val="21"/>
        </w:rPr>
        <w:t>填报时间：  年   月   日          单位：万元</w:t>
      </w:r>
    </w:p>
    <w:tbl>
      <w:tblPr>
        <w:tblStyle w:val="5"/>
        <w:tblW w:w="9183" w:type="dxa"/>
        <w:jc w:val="center"/>
        <w:tblLayout w:type="fixed"/>
        <w:tblCellMar>
          <w:top w:w="0" w:type="dxa"/>
          <w:left w:w="113" w:type="dxa"/>
          <w:bottom w:w="0" w:type="dxa"/>
          <w:right w:w="0" w:type="dxa"/>
        </w:tblCellMar>
      </w:tblPr>
      <w:tblGrid>
        <w:gridCol w:w="725"/>
        <w:gridCol w:w="1573"/>
        <w:gridCol w:w="1275"/>
        <w:gridCol w:w="1080"/>
        <w:gridCol w:w="1290"/>
        <w:gridCol w:w="1080"/>
        <w:gridCol w:w="1080"/>
        <w:gridCol w:w="1080"/>
      </w:tblGrid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一、客户基本情况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客户名称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注册时间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客户性质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注册地址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实收资本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统一社会信用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农发行评定信用等级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仓容情况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基本户开户行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农发行开户行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经营范围</w:t>
            </w:r>
          </w:p>
        </w:tc>
        <w:tc>
          <w:tcPr>
            <w:tcW w:w="6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二、客户财务情况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资产总额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负债总额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资产负债率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近三年销售收入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近三年净利润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三、贷款情况</w:t>
            </w:r>
          </w:p>
        </w:tc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现有贷款情况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农发行贷款余额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拟申请贷款金额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拟申请贷款用途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四、准入标准情况</w:t>
            </w:r>
          </w:p>
        </w:tc>
        <w:tc>
          <w:tcPr>
            <w:tcW w:w="5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原则上应达到以下标准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是否符合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说明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1、企业产权和管理权清晰，内部经营管理正常。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  ）是，（  ）否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2、有效的《粮食收购备案表》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  ）是，（  ）否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足够的仓容。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  ）是，（  ）否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、自愿纳入信用保证基金范围，并缴存相应的保证金。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  ）是，（  ）否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、自愿接受并积极配合银行信贷调查和贷后管理。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  ）是，（  ）否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671" w:hRule="exac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、有自有资金参与收购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参与收购的自有资金比例原则上不低于20%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）。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  ）是，（  ）否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、信用状况良好。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  ）是，（  ）否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、反洗钱状况良好。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  ）是，（  ）否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13" w:type="dxa"/>
              <w:right w:w="1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、满足农发行规定的客户准入要求和其他条件。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  ）是，（  ）否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五、其他需要说明的情况</w:t>
            </w:r>
          </w:p>
        </w:tc>
        <w:tc>
          <w:tcPr>
            <w:tcW w:w="84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1343" w:tblpY="93"/>
        <w:tblOverlap w:val="never"/>
        <w:tblW w:w="91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2848"/>
        <w:gridCol w:w="56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六、初审意见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发改局意见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审查人：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财政局意见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审查人：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金融办意见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审查人：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农发行意见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审查人：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七、信用保证基金领导小组意见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办公室审查意见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审查人：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领导意见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审查人：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八、备注：</w:t>
            </w:r>
          </w:p>
        </w:tc>
        <w:tc>
          <w:tcPr>
            <w:tcW w:w="8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附件4：（参考样本）</w:t>
      </w:r>
    </w:p>
    <w:p>
      <w:pPr>
        <w:pStyle w:val="4"/>
        <w:spacing w:line="240" w:lineRule="exact"/>
        <w:ind w:firstLine="640"/>
      </w:pPr>
    </w:p>
    <w:p>
      <w:pPr>
        <w:jc w:val="center"/>
      </w:pPr>
      <w:r>
        <w:pict>
          <v:shape id="_x0000_i1025" o:spt="136" type="#_x0000_t136" style="height:38.5pt;width:438.7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曾都区粮食收购信用保证基金管理领导小组办公室" style="font-family:方正小标宋简体;font-size:28pt;v-text-align:center;"/>
            <w10:wrap type="none"/>
            <w10:anchorlock/>
          </v:shape>
        </w:pic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48895</wp:posOffset>
                </wp:positionV>
                <wp:extent cx="5760085" cy="635"/>
                <wp:effectExtent l="0" t="19050" r="12065" b="37465"/>
                <wp:wrapNone/>
                <wp:docPr id="6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6.25pt;margin-top:3.85pt;height:0.05pt;width:453.55pt;z-index:251659264;mso-width-relative:page;mso-height-relative:page;" filled="f" stroked="t" coordsize="21600,21600" o:gfxdata="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XWie9kAAAAHAQAADwAAAAAAAAABACAAAAAiAAAAZHJzL2Rvd25yZXYueG1sUEsBAhQA&#10;FAAAAAgAh07iQEJeluLxAQAA7AMAAA4AAAAAAAAAAQAgAAAAKAEAAGRycy9lMm9Eb2MueG1sUEsF&#10;BgAAAAAGAAYAWQEAAIs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115570</wp:posOffset>
                </wp:positionV>
                <wp:extent cx="5760085" cy="635"/>
                <wp:effectExtent l="0" t="0" r="0" b="0"/>
                <wp:wrapNone/>
                <wp:docPr id="8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7pt;margin-top:9.1pt;height:0.05pt;width:453.55pt;z-index:251660288;mso-width-relative:page;mso-height-relative:page;" filled="f" stroked="t" coordsize="21600,21600" o:gfxdata="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mLBKH2AAAAAkBAAAPAAAAAAAAAAEAIAAAACIAAABkcnMvZG93bnJldi54bWxQSwECFAAUAAAA&#10;CACHTuJANgyaye4BAADrAwAADgAAAAAAAAABACAAAAAnAQAAZHJzL2Uyb0RvYy54bWxQSwUGAAAA&#10;AAYABgBZAQAAhwUAAAAA&#10;">
                <v:fill on="f" focussize="0,0"/>
                <v:stroke weight="0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 荐 函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pStyle w:val="3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中国农业发展银行随州市分行：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根据《曾都区粮食收购贷款信用保证基金管理实施办法》，区信用保证基金管理领导小组办公室对企业提交的申请资料进行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审核，同意推荐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在贵行申请办理信用保证基金贷款。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曾都区粮食收购信用保证基金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领导小组办公室</w:t>
      </w:r>
    </w:p>
    <w:p>
      <w:pPr>
        <w:spacing w:line="6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年  月  日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p>
      <w:pPr>
        <w:pStyle w:val="4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466090</wp:posOffset>
                </wp:positionV>
                <wp:extent cx="5760085" cy="635"/>
                <wp:effectExtent l="0" t="0" r="0" b="0"/>
                <wp:wrapNone/>
                <wp:docPr id="7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7pt;margin-top:36.7pt;height:0.05pt;width:453.55pt;z-index:251662336;mso-width-relative:page;mso-height-relative:page;" filled="f" stroked="t" coordsize="21600,21600" o:gfxdata="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59xWCtkAAAAJAQAADwAAAAAAAAABACAAAAAiAAAAZHJzL2Rvd25yZXYueG1sUEsBAhQAFAAA&#10;AAgAh07iQAOf7HbuAQAA6wMAAA4AAAAAAAAAAQAgAAAAKAEAAGRycy9lMm9Eb2MueG1sUEsFBgAA&#10;AAAGAAYAWQEAAIgFAAAAAA==&#10;">
                <v:fill on="f" focussize="0,0"/>
                <v:stroke weight="0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523240</wp:posOffset>
                </wp:positionV>
                <wp:extent cx="5760085" cy="635"/>
                <wp:effectExtent l="0" t="19050" r="12065" b="37465"/>
                <wp:wrapNone/>
                <wp:docPr id="5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7pt;margin-top:41.2pt;height:0.05pt;width:453.55pt;z-index:251661312;mso-width-relative:page;mso-height-relative:page;" filled="f" stroked="t" coordsize="21600,21600" o:gfxdata="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YjMy23AAAAAkBAAAPAAAAAAAAAAEAIAAAACIAAABkcnMvZG93bnJldi54bWxQSwEC&#10;FAAUAAAACACHTuJAJy/anvABAADsAwAADgAAAAAAAAABACAAAAArAQAAZHJzL2Uyb0RvYy54bWxQ&#10;SwUGAAAAAAYABgBZAQAAj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附件5：（参考样本）</w:t>
      </w:r>
    </w:p>
    <w:p>
      <w:pPr>
        <w:pStyle w:val="4"/>
        <w:spacing w:line="240" w:lineRule="exact"/>
        <w:ind w:firstLine="640"/>
      </w:pPr>
    </w:p>
    <w:p>
      <w:pPr>
        <w:jc w:val="center"/>
      </w:pPr>
      <w:r>
        <w:pict>
          <v:shape id="_x0000_i1026" o:spt="136" type="#_x0000_t136" style="height:38.5pt;width:438.7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曾都区粮食收购信用保证基金管理领导小组办公室" style="font-family:方正小标宋简体;font-size:28pt;v-text-align:center;"/>
            <w10:wrap type="none"/>
            <w10:anchorlock/>
          </v:shape>
        </w:pict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48895</wp:posOffset>
                </wp:positionV>
                <wp:extent cx="5760085" cy="635"/>
                <wp:effectExtent l="0" t="19050" r="12065" b="37465"/>
                <wp:wrapNone/>
                <wp:docPr id="9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6.25pt;margin-top:3.85pt;height:0.05pt;width:453.55pt;z-index:251663360;mso-width-relative:page;mso-height-relative:page;" filled="f" stroked="t" coordsize="21600,21600" o:gfxdata="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ddaJ72QAAAAcBAAAPAAAAAAAAAAEAIAAAACIAAABkcnMvZG93bnJldi54bWxQSwECFAAU&#10;AAAACACHTuJA8uyatPABAADsAwAADgAAAAAAAAABACAAAAAoAQAAZHJzL2Uyb0RvYy54bWxQSwUG&#10;AAAAAAYABgBZAQAAi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115570</wp:posOffset>
                </wp:positionV>
                <wp:extent cx="5760085" cy="635"/>
                <wp:effectExtent l="0" t="0" r="0" b="0"/>
                <wp:wrapNone/>
                <wp:docPr id="10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7pt;margin-top:9.1pt;height:0.05pt;width:453.55pt;z-index:251664384;mso-width-relative:page;mso-height-relative:page;" filled="f" stroked="t" coordsize="21600,21600" o:gfxdata="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mLBKH2AAAAAkBAAAPAAAAAAAAAAEAIAAAACIAAABkcnMvZG93bnJldi54bWxQSwECFAAUAAAA&#10;CACHTuJAJ66SCu4BAADsAwAADgAAAAAAAAABACAAAAAnAQAAZHJzL2Uyb0RvYy54bWxQSwUGAAAA&#10;AAYABgBZAQAAhwUAAAAA&#10;">
                <v:fill on="f" focussize="0,0"/>
                <v:stroke weight="0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 款 通 知 书</w:t>
      </w:r>
    </w:p>
    <w:p>
      <w:pPr>
        <w:spacing w:line="58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3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中国农业发展银行随州市分行：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我基金办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根据《曾都区粮食市场化收购贷款信用保证基金管理实施办法》（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文号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），对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申报资料审核、现场核查、风险评估，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认为</w:t>
      </w:r>
      <w:r>
        <w:rPr>
          <w:rFonts w:hint="eastAsia" w:ascii="仿宋_GB2312" w:hAnsi="仿宋_GB2312" w:eastAsia="仿宋_GB2312" w:cs="仿宋_GB2312"/>
          <w:sz w:val="32"/>
          <w:szCs w:val="32"/>
        </w:rPr>
        <w:t>该公司的申请符合规定，同意将该笔信贷业务纳入信用保证基金担保范围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贵行可办理贷款发放手续。如该笔信贷业务逾期未还，可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信用保证基金代偿。该信贷业务种类、币种、金额、期限如下：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信贷业务种类：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币种：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金额：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期限：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曾都区粮食收购信用保证基金</w:t>
      </w:r>
    </w:p>
    <w:p>
      <w:pPr>
        <w:spacing w:line="58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管理领导小组办公室</w:t>
      </w:r>
    </w:p>
    <w:p>
      <w:pPr>
        <w:spacing w:line="620" w:lineRule="exact"/>
        <w:ind w:firstLine="42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867410</wp:posOffset>
                </wp:positionV>
                <wp:extent cx="5760085" cy="635"/>
                <wp:effectExtent l="0" t="0" r="0" b="0"/>
                <wp:wrapNone/>
                <wp:docPr id="1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7pt;margin-top:68.3pt;height:0.05pt;width:453.55pt;z-index:251666432;mso-width-relative:page;mso-height-relative:page;" filled="f" stroked="t" coordsize="21600,21600" o:gfxdata="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npJ69kAAAALAQAADwAAAAAAAAABACAAAAAiAAAAZHJzL2Rvd25yZXYueG1sUEsBAhQAFAAA&#10;AAgAh07iQJ0f53ruAQAA7AMAAA4AAAAAAAAAAQAgAAAAKAEAAGRycy9lMm9Eb2MueG1sUEsFBgAA&#10;AAAGAAYAWQEAAIgFAAAAAA==&#10;">
                <v:fill on="f" focussize="0,0"/>
                <v:stroke weight="0.5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924560</wp:posOffset>
                </wp:positionV>
                <wp:extent cx="5760085" cy="635"/>
                <wp:effectExtent l="0" t="19050" r="12065" b="37465"/>
                <wp:wrapNone/>
                <wp:docPr id="1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7pt;margin-top:72.8pt;height:0.05pt;width:453.55pt;z-index:251665408;mso-width-relative:page;mso-height-relative:page;" filled="f" stroked="t" coordsize="21600,21600" o:gfxdata="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8sCPtwAAAALAQAADwAAAAAAAAABACAAAAAiAAAAZHJzL2Rvd25yZXYueG1sUEsB&#10;AhQAFAAAAAgAh07iQMe1paLxAQAA7QMAAA4AAAAAAAAAAQAgAAAAKwEAAGRycy9lMm9Eb2MueG1s&#10;UEsFBgAAAAAGAAYAWQEAAI4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Y2Q2ZjI4ZjZjNGIxZDkyNDI1Nzg2Mzg5MzQzZWEifQ=="/>
  </w:docVars>
  <w:rsids>
    <w:rsidRoot w:val="00000000"/>
    <w:rsid w:val="556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150"/>
    </w:pPr>
    <w:rPr>
      <w:rFonts w:ascii="仿宋_GB2312" w:eastAsia="仿宋_GB2312"/>
      <w:bCs/>
      <w:sz w:val="32"/>
      <w:szCs w:val="32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2023-05-17T02:31:16Z</dcterms:created>
  <dc:creator>Administrator</dc:creator>
  <cp:lastModifiedBy>逆风飞翔</cp:lastModifiedBy>
  <dcterms:modified xsi:type="dcterms:W3CDTF">2023-05-17T02:33:10Z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F05C7A91F5E74228BE65FA1F2C88A1D8_12</vt:lpwstr>
  </property>
</Properties>
</file>