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CESI仿宋-GB2312" w:hAnsi="CESI仿宋-GB2312" w:eastAsia="CESI仿宋-GB2312" w:cs="CESI仿宋-GB2312"/>
          <w:sz w:val="40"/>
          <w:szCs w:val="40"/>
        </w:rPr>
      </w:pPr>
      <w:r>
        <w:rPr>
          <w:rFonts w:hint="eastAsia" w:ascii="CESI小标宋-GB2312" w:hAnsi="CESI小标宋-GB2312" w:eastAsia="CESI小标宋-GB2312" w:cs="CESI小标宋-GB2312"/>
          <w:sz w:val="40"/>
          <w:szCs w:val="40"/>
          <w:lang w:eastAsia="zh-CN"/>
        </w:rPr>
        <w:t>曾都区财政局</w:t>
      </w:r>
      <w:r>
        <w:rPr>
          <w:rFonts w:hint="eastAsia" w:ascii="CESI小标宋-GB2312" w:hAnsi="CESI小标宋-GB2312" w:eastAsia="CESI小标宋-GB2312" w:cs="CESI小标宋-GB2312"/>
          <w:sz w:val="40"/>
          <w:szCs w:val="40"/>
          <w:lang w:val="en-US" w:eastAsia="zh-CN"/>
        </w:rPr>
        <w:t>2023</w:t>
      </w:r>
      <w:r>
        <w:rPr>
          <w:rFonts w:hint="eastAsia" w:ascii="CESI小标宋-GB2312" w:hAnsi="CESI小标宋-GB2312" w:eastAsia="CESI小标宋-GB2312" w:cs="CESI小标宋-GB2312"/>
          <w:sz w:val="40"/>
          <w:szCs w:val="40"/>
        </w:rPr>
        <w:t>年度行政执法统计年报</w:t>
      </w:r>
    </w:p>
    <w:p>
      <w:pPr>
        <w:spacing w:line="580" w:lineRule="exact"/>
        <w:rPr>
          <w:rFonts w:hint="eastAsia" w:ascii="CESI仿宋-GB2312" w:hAnsi="CESI仿宋-GB2312" w:eastAsia="CESI仿宋-GB2312" w:cs="CESI仿宋-GB2312"/>
          <w:b/>
          <w:bCs/>
          <w:sz w:val="36"/>
          <w:szCs w:val="36"/>
        </w:rPr>
      </w:pPr>
    </w:p>
    <w:p>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数量：</w:t>
      </w:r>
      <w:r>
        <w:rPr>
          <w:rFonts w:hint="eastAsia" w:ascii="CESI仿宋-GB2312" w:hAnsi="CESI仿宋-GB2312" w:eastAsia="CESI仿宋-GB2312" w:cs="CESI仿宋-GB2312"/>
          <w:sz w:val="32"/>
          <w:szCs w:val="32"/>
          <w:lang w:val="en-US" w:eastAsia="zh-CN"/>
        </w:rPr>
        <w:t>19</w:t>
      </w:r>
      <w:r>
        <w:rPr>
          <w:rFonts w:hint="eastAsia" w:ascii="CESI仿宋-GB2312" w:hAnsi="CESI仿宋-GB2312" w:eastAsia="CESI仿宋-GB2312" w:cs="CESI仿宋-GB2312"/>
          <w:sz w:val="32"/>
          <w:szCs w:val="32"/>
          <w:lang w:eastAsia="zh-CN"/>
        </w:rPr>
        <w:t>（随州市曾都区财政局、</w:t>
      </w:r>
      <w:r>
        <w:rPr>
          <w:rFonts w:hint="eastAsia" w:ascii="CESI仿宋-GB2312" w:hAnsi="CESI仿宋-GB2312" w:eastAsia="CESI仿宋-GB2312" w:cs="CESI仿宋-GB2312"/>
          <w:sz w:val="32"/>
          <w:szCs w:val="32"/>
          <w:lang w:eastAsia="zh-CN"/>
        </w:rPr>
        <w:fldChar w:fldCharType="begin"/>
      </w:r>
      <w:r>
        <w:rPr>
          <w:rFonts w:hint="eastAsia" w:ascii="CESI仿宋-GB2312" w:hAnsi="CESI仿宋-GB2312" w:eastAsia="CESI仿宋-GB2312" w:cs="CESI仿宋-GB2312"/>
          <w:sz w:val="32"/>
          <w:szCs w:val="32"/>
          <w:lang w:eastAsia="zh-CN"/>
        </w:rPr>
        <w:instrText xml:space="preserve"> HYPERLINK "javascript:detail("A56A7323B4954265B6D8CC8298ADF4B7")" \o "点击查看详细信息" </w:instrText>
      </w:r>
      <w:r>
        <w:rPr>
          <w:rFonts w:hint="eastAsia" w:ascii="CESI仿宋-GB2312" w:hAnsi="CESI仿宋-GB2312" w:eastAsia="CESI仿宋-GB2312" w:cs="CESI仿宋-GB2312"/>
          <w:sz w:val="32"/>
          <w:szCs w:val="32"/>
          <w:lang w:eastAsia="zh-CN"/>
        </w:rPr>
        <w:fldChar w:fldCharType="separate"/>
      </w:r>
      <w:r>
        <w:rPr>
          <w:rFonts w:hint="eastAsia" w:ascii="CESI仿宋-GB2312" w:hAnsi="CESI仿宋-GB2312" w:eastAsia="CESI仿宋-GB2312" w:cs="CESI仿宋-GB2312"/>
          <w:sz w:val="32"/>
          <w:szCs w:val="32"/>
          <w:lang w:eastAsia="zh-CN"/>
        </w:rPr>
        <w:t>随州市曾都区非税收入管理局</w:t>
      </w:r>
      <w:r>
        <w:rPr>
          <w:rFonts w:hint="eastAsia" w:ascii="CESI仿宋-GB2312" w:hAnsi="CESI仿宋-GB2312" w:eastAsia="CESI仿宋-GB2312" w:cs="CESI仿宋-GB2312"/>
          <w:sz w:val="32"/>
          <w:szCs w:val="32"/>
          <w:lang w:eastAsia="zh-CN"/>
        </w:rPr>
        <w:fldChar w:fldCharType="end"/>
      </w:r>
      <w:r>
        <w:rPr>
          <w:rFonts w:hint="eastAsia" w:ascii="CESI仿宋-GB2312" w:hAnsi="CESI仿宋-GB2312" w:eastAsia="CESI仿宋-GB2312" w:cs="CESI仿宋-GB2312"/>
          <w:sz w:val="32"/>
          <w:szCs w:val="32"/>
          <w:lang w:eastAsia="zh-CN"/>
        </w:rPr>
        <w:t>、随州</w:t>
      </w:r>
      <w:bookmarkStart w:id="0" w:name="_GoBack"/>
      <w:bookmarkEnd w:id="0"/>
      <w:r>
        <w:rPr>
          <w:rFonts w:hint="eastAsia" w:ascii="CESI仿宋-GB2312" w:hAnsi="CESI仿宋-GB2312" w:eastAsia="CESI仿宋-GB2312" w:cs="CESI仿宋-GB2312"/>
          <w:sz w:val="32"/>
          <w:szCs w:val="32"/>
          <w:lang w:eastAsia="zh-CN"/>
        </w:rPr>
        <w:t>市曾都区政府性债务管理中心、随州市曾都区预算编审中心、随州市曾都区农村财政管理局、随州市曾都区国有资产管理中心、随州市曾都区财政投资评审中心、随州市曾都财政国库集中收付管理局、随州市曾都区会计局、随州市曾都区东城财政所、随州市曾都区西城财政所、随州市曾都区南郊财政所、随州市曾都区北郊财政所、随州市曾都区洛阳镇财政所、随州市曾都区万店镇财政所、随州市曾都区何店镇财政所、随州市曾都区府河财政所</w:t>
      </w:r>
      <w:r>
        <w:rPr>
          <w:rFonts w:hint="eastAsia" w:ascii="CESI仿宋-GB2312" w:hAnsi="CESI仿宋-GB2312" w:eastAsia="CESI仿宋-GB2312" w:cs="CESI仿宋-GB2312"/>
          <w:sz w:val="32"/>
          <w:szCs w:val="32"/>
          <w:lang w:eastAsia="zh-CN"/>
        </w:rPr>
        <w:tab/>
      </w:r>
      <w:r>
        <w:rPr>
          <w:rFonts w:hint="eastAsia" w:ascii="CESI仿宋-GB2312" w:hAnsi="CESI仿宋-GB2312" w:eastAsia="CESI仿宋-GB2312" w:cs="CESI仿宋-GB2312"/>
          <w:sz w:val="32"/>
          <w:szCs w:val="32"/>
          <w:lang w:eastAsia="zh-CN"/>
        </w:rPr>
        <w:t>、随州市城南新区财政局、随州市曾都区经济开发区财政局）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161人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（三）其他需要说明的情况。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无</w:t>
      </w:r>
    </w:p>
    <w:p>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年度行政执法案件情况</w:t>
      </w:r>
    </w:p>
    <w:p>
      <w:pPr>
        <w:pStyle w:val="2"/>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8416" w:type="dxa"/>
            <w:gridSpan w:val="9"/>
            <w:noWrap/>
            <w:tcMar>
              <w:top w:w="0" w:type="dxa"/>
              <w:left w:w="84" w:type="dxa"/>
              <w:bottom w:w="0" w:type="dxa"/>
              <w:right w:w="84" w:type="dxa"/>
            </w:tcMar>
            <w:vAlign w:val="center"/>
          </w:tcPr>
          <w:p>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5" w:hRule="atLeast"/>
          <w:jc w:val="center"/>
        </w:trPr>
        <w:tc>
          <w:tcPr>
            <w:tcW w:w="751" w:type="dxa"/>
            <w:vMerge w:val="restart"/>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7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52"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106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79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1268" w:type="dxa"/>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00"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7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52"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106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79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r>
    </w:tbl>
    <w:p>
      <w:pPr>
        <w:pStyle w:val="2"/>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年行政许可实施情况统计表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eastAsia="zh-CN"/>
              </w:rPr>
            </w:pPr>
            <w:r>
              <w:rPr>
                <w:rFonts w:hint="eastAsia" w:ascii="CESI仿宋-GB2312" w:hAnsi="CESI仿宋-GB2312" w:eastAsia="CESI仿宋-GB2312" w:cs="CESI仿宋-GB2312"/>
                <w:sz w:val="18"/>
                <w:szCs w:val="18"/>
                <w:lang w:eastAsia="zh-CN"/>
              </w:rPr>
              <w:t>曾都区财政局</w:t>
            </w:r>
          </w:p>
        </w:tc>
        <w:tc>
          <w:tcPr>
            <w:tcW w:w="154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7</w:t>
            </w:r>
          </w:p>
        </w:tc>
        <w:tc>
          <w:tcPr>
            <w:tcW w:w="1599"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6</w:t>
            </w:r>
          </w:p>
        </w:tc>
        <w:tc>
          <w:tcPr>
            <w:tcW w:w="154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6</w:t>
            </w:r>
          </w:p>
        </w:tc>
        <w:tc>
          <w:tcPr>
            <w:tcW w:w="1494"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1</w:t>
            </w:r>
          </w:p>
        </w:tc>
        <w:tc>
          <w:tcPr>
            <w:tcW w:w="1448"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20" w:lineRule="exact"/>
              <w:jc w:val="center"/>
              <w:rPr>
                <w:rFonts w:hint="eastAsia" w:ascii="CESI仿宋-GB2312" w:hAnsi="CESI仿宋-GB2312" w:eastAsia="CESI仿宋-GB2312" w:cs="CESI仿宋-GB2312"/>
                <w:sz w:val="18"/>
                <w:szCs w:val="18"/>
                <w:lang w:val="en-US" w:eastAsia="zh-CN"/>
              </w:rPr>
            </w:pPr>
            <w:r>
              <w:rPr>
                <w:rFonts w:hint="eastAsia" w:ascii="CESI仿宋-GB2312" w:hAnsi="CESI仿宋-GB2312" w:eastAsia="CESI仿宋-GB2312" w:cs="CESI仿宋-GB2312"/>
                <w:sz w:val="18"/>
                <w:szCs w:val="18"/>
                <w:lang w:val="en-US" w:eastAsia="zh-CN"/>
              </w:rPr>
              <w:t>0</w:t>
            </w:r>
          </w:p>
        </w:tc>
      </w:tr>
    </w:tbl>
    <w:p>
      <w:pPr>
        <w:pStyle w:val="2"/>
        <w:widowControl/>
        <w:spacing w:before="0" w:beforeAutospacing="0" w:after="0" w:afterAutospacing="0" w:line="360" w:lineRule="exact"/>
        <w:ind w:firstLine="462" w:firstLineChars="200"/>
        <w:jc w:val="both"/>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年行政强制实施情况统计表</w:t>
      </w:r>
      <w:r>
        <w:rPr>
          <w:rStyle w:val="5"/>
          <w:rFonts w:hint="eastAsia" w:ascii="CESI楷体-GB2312" w:hAnsi="CESI楷体-GB2312" w:eastAsia="CESI楷体-GB2312" w:cs="CESI楷体-GB2312"/>
          <w:b w:val="0"/>
          <w:bCs w:val="0"/>
          <w:sz w:val="16"/>
          <w:szCs w:val="16"/>
        </w:rPr>
        <w:t>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464"/>
        <w:gridCol w:w="805"/>
        <w:gridCol w:w="500"/>
        <w:gridCol w:w="690"/>
        <w:gridCol w:w="1065"/>
        <w:gridCol w:w="750"/>
        <w:gridCol w:w="495"/>
        <w:gridCol w:w="1275"/>
        <w:gridCol w:w="600"/>
        <w:gridCol w:w="540"/>
        <w:gridCol w:w="735"/>
        <w:gridCol w:w="570"/>
        <w:gridCol w:w="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464"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default"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单位</w:t>
            </w:r>
            <w:r>
              <w:rPr>
                <w:rStyle w:val="5"/>
                <w:rFonts w:hint="default" w:ascii="CESI黑体-GB2312" w:hAnsi="CESI黑体-GB2312" w:eastAsia="CESI黑体-GB2312" w:cs="CESI黑体-GB2312"/>
                <w:b w:val="0"/>
                <w:bCs/>
                <w:sz w:val="21"/>
                <w:szCs w:val="21"/>
              </w:rPr>
              <w:t>名称</w:t>
            </w:r>
          </w:p>
        </w:tc>
        <w:tc>
          <w:tcPr>
            <w:tcW w:w="3060" w:type="dxa"/>
            <w:gridSpan w:val="4"/>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行政强制措施实施数量（宗）</w:t>
            </w:r>
          </w:p>
        </w:tc>
        <w:tc>
          <w:tcPr>
            <w:tcW w:w="4965" w:type="dxa"/>
            <w:gridSpan w:val="7"/>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行政强制执行实施数量（宗）</w:t>
            </w:r>
          </w:p>
        </w:tc>
        <w:tc>
          <w:tcPr>
            <w:tcW w:w="583"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 w:val="21"/>
                <w:szCs w:val="21"/>
              </w:rPr>
            </w:pPr>
            <w:r>
              <w:rPr>
                <w:rStyle w:val="5"/>
                <w:rFonts w:hint="eastAsia" w:ascii="CESI黑体-GB2312" w:hAnsi="CESI黑体-GB2312" w:eastAsia="CESI黑体-GB2312" w:cs="CESI黑体-GB2312"/>
                <w:b w:val="0"/>
                <w:bCs/>
                <w:sz w:val="21"/>
                <w:szCs w:val="21"/>
              </w:rPr>
              <w:t>合计</w:t>
            </w:r>
          </w:p>
          <w:p>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 w:val="21"/>
                <w:szCs w:val="21"/>
              </w:rPr>
            </w:pPr>
            <w:r>
              <w:rPr>
                <w:rStyle w:val="5"/>
                <w:rFonts w:hint="eastAsia" w:ascii="CESI黑体-GB2312" w:hAnsi="CESI黑体-GB2312" w:eastAsia="CESI黑体-GB2312" w:cs="CESI黑体-GB2312"/>
                <w:b w:val="0"/>
                <w:bCs/>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464"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805"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查封场所、设施或者财物</w:t>
            </w:r>
          </w:p>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p>
        </w:tc>
        <w:tc>
          <w:tcPr>
            <w:tcW w:w="500"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扣押财物</w:t>
            </w:r>
          </w:p>
        </w:tc>
        <w:tc>
          <w:tcPr>
            <w:tcW w:w="690"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冻结存款、汇款</w:t>
            </w:r>
          </w:p>
        </w:tc>
        <w:tc>
          <w:tcPr>
            <w:tcW w:w="1065"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其他行政强制措施</w:t>
            </w:r>
          </w:p>
        </w:tc>
        <w:tc>
          <w:tcPr>
            <w:tcW w:w="4395" w:type="dxa"/>
            <w:gridSpan w:val="6"/>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行政机关强制执行</w:t>
            </w:r>
          </w:p>
        </w:tc>
        <w:tc>
          <w:tcPr>
            <w:tcW w:w="570" w:type="dxa"/>
            <w:vMerge w:val="restart"/>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申请法院强制执行</w:t>
            </w:r>
          </w:p>
        </w:tc>
        <w:tc>
          <w:tcPr>
            <w:tcW w:w="583"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464"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805"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50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690"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1065" w:type="dxa"/>
            <w:vMerge w:val="continue"/>
            <w:noWrap/>
            <w:tcMar>
              <w:top w:w="0" w:type="dxa"/>
              <w:left w:w="84" w:type="dxa"/>
              <w:bottom w:w="0" w:type="dxa"/>
              <w:right w:w="84" w:type="dxa"/>
            </w:tcMar>
            <w:vAlign w:val="center"/>
          </w:tcPr>
          <w:p>
            <w:pPr>
              <w:spacing w:line="380" w:lineRule="exact"/>
              <w:jc w:val="center"/>
              <w:rPr>
                <w:rFonts w:hint="eastAsia" w:ascii="CESI黑体-GB2312" w:hAnsi="CESI黑体-GB2312" w:eastAsia="CESI黑体-GB2312" w:cs="CESI黑体-GB2312"/>
                <w:bCs/>
                <w:sz w:val="21"/>
                <w:szCs w:val="21"/>
              </w:rPr>
            </w:pPr>
          </w:p>
        </w:tc>
        <w:tc>
          <w:tcPr>
            <w:tcW w:w="750" w:type="dxa"/>
            <w:noWrap/>
            <w:tcMar>
              <w:top w:w="0" w:type="dxa"/>
              <w:left w:w="84" w:type="dxa"/>
              <w:bottom w:w="0" w:type="dxa"/>
              <w:right w:w="84" w:type="dxa"/>
            </w:tcMar>
            <w:vAlign w:val="center"/>
          </w:tcPr>
          <w:p>
            <w:pPr>
              <w:pStyle w:val="2"/>
              <w:widowControl/>
              <w:spacing w:before="0" w:beforeAutospacing="0" w:after="0" w:afterAutospacing="0" w:line="34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加处罚款或者滞纳金</w:t>
            </w:r>
          </w:p>
        </w:tc>
        <w:tc>
          <w:tcPr>
            <w:tcW w:w="495"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划拨存款、汇款</w:t>
            </w:r>
          </w:p>
        </w:tc>
        <w:tc>
          <w:tcPr>
            <w:tcW w:w="1275"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拍卖或者依法处理查封、扣押的场所、设施或者财物</w:t>
            </w:r>
          </w:p>
        </w:tc>
        <w:tc>
          <w:tcPr>
            <w:tcW w:w="600"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排除妨碍、恢复原状</w:t>
            </w:r>
          </w:p>
        </w:tc>
        <w:tc>
          <w:tcPr>
            <w:tcW w:w="540"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代履行</w:t>
            </w:r>
          </w:p>
        </w:tc>
        <w:tc>
          <w:tcPr>
            <w:tcW w:w="735" w:type="dxa"/>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5"/>
                <w:rFonts w:hint="eastAsia" w:ascii="CESI黑体-GB2312" w:hAnsi="CESI黑体-GB2312" w:eastAsia="CESI黑体-GB2312" w:cs="CESI黑体-GB2312"/>
                <w:b w:val="0"/>
                <w:bCs/>
                <w:sz w:val="21"/>
                <w:szCs w:val="21"/>
              </w:rPr>
              <w:t>其他强制执行</w:t>
            </w:r>
          </w:p>
        </w:tc>
        <w:tc>
          <w:tcPr>
            <w:tcW w:w="570"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1"/>
                <w:szCs w:val="21"/>
              </w:rPr>
            </w:pPr>
          </w:p>
        </w:tc>
        <w:tc>
          <w:tcPr>
            <w:tcW w:w="583" w:type="dxa"/>
            <w:vMerge w:val="continue"/>
            <w:noWrap/>
            <w:tcMar>
              <w:top w:w="0" w:type="dxa"/>
              <w:left w:w="84" w:type="dxa"/>
              <w:bottom w:w="0" w:type="dxa"/>
              <w:right w:w="84" w:type="dxa"/>
            </w:tcMar>
            <w:vAlign w:val="center"/>
          </w:tcPr>
          <w:p>
            <w:pPr>
              <w:spacing w:line="380" w:lineRule="exact"/>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06" w:hRule="atLeast"/>
          <w:jc w:val="center"/>
        </w:trPr>
        <w:tc>
          <w:tcPr>
            <w:tcW w:w="464"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80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50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69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106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75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49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127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60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54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735"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570"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rPr>
            </w:pPr>
          </w:p>
        </w:tc>
        <w:tc>
          <w:tcPr>
            <w:tcW w:w="583" w:type="dxa"/>
            <w:tcBorders>
              <w:bottom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380" w:lineRule="exact"/>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r>
    </w:tbl>
    <w:p>
      <w:pPr>
        <w:pStyle w:val="2"/>
        <w:widowControl/>
        <w:spacing w:before="0" w:beforeAutospacing="0" w:after="0" w:afterAutospacing="0" w:line="380" w:lineRule="exact"/>
        <w:ind w:firstLine="462" w:firstLineChars="200"/>
        <w:jc w:val="both"/>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pPr>
        <w:pStyle w:val="2"/>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pPr>
              <w:spacing w:line="440" w:lineRule="exact"/>
              <w:jc w:val="center"/>
              <w:rPr>
                <w:rFonts w:hint="eastAsia" w:ascii="CESI仿宋-GB2312" w:hAnsi="CESI仿宋-GB2312" w:eastAsia="CESI仿宋-GB2312" w:cs="CESI仿宋-GB2312"/>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52" w:hRule="atLeast"/>
          <w:jc w:val="center"/>
        </w:trPr>
        <w:tc>
          <w:tcPr>
            <w:tcW w:w="534"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c>
          <w:tcPr>
            <w:tcW w:w="52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c>
          <w:tcPr>
            <w:tcW w:w="720"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w:t>
            </w:r>
          </w:p>
        </w:tc>
        <w:tc>
          <w:tcPr>
            <w:tcW w:w="65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c>
          <w:tcPr>
            <w:tcW w:w="66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c>
          <w:tcPr>
            <w:tcW w:w="69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c>
          <w:tcPr>
            <w:tcW w:w="959"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top"/>
          </w:tcPr>
          <w:p>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p>
        </w:tc>
      </w:tr>
    </w:tbl>
    <w:p>
      <w:pPr>
        <w:spacing w:line="140" w:lineRule="exact"/>
        <w:ind w:firstLine="420" w:firstLineChars="200"/>
        <w:rPr>
          <w:rFonts w:hint="eastAsia" w:ascii="CESI仿宋-GB2312" w:hAnsi="CESI仿宋-GB2312" w:eastAsia="CESI仿宋-GB2312" w:cs="CESI仿宋-GB2312"/>
          <w:szCs w:val="21"/>
        </w:rPr>
      </w:pPr>
    </w:p>
    <w:p>
      <w:pPr>
        <w:spacing w:line="360" w:lineRule="exact"/>
        <w:ind w:firstLine="462" w:firstLineChars="200"/>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pPr>
        <w:pStyle w:val="2"/>
        <w:keepNext w:val="0"/>
        <w:keepLines w:val="0"/>
        <w:pageBreakBefore w:val="0"/>
        <w:widowControl/>
        <w:kinsoku/>
        <w:wordWrap/>
        <w:overflowPunct/>
        <w:topLinePunct w:val="0"/>
        <w:autoSpaceDE/>
        <w:autoSpaceDN/>
        <w:bidi w:val="0"/>
        <w:adjustRightInd/>
        <w:snapToGrid/>
        <w:spacing w:before="180" w:beforeAutospacing="0" w:after="0" w:afterAutospacing="0" w:line="5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3</w:t>
      </w:r>
      <w:r>
        <w:rPr>
          <w:rFonts w:hint="eastAsia" w:ascii="CESI楷体-GB2312" w:hAnsi="CESI楷体-GB2312" w:eastAsia="CESI楷体-GB2312" w:cs="CESI楷体-GB2312"/>
          <w:b w:val="0"/>
          <w:bCs w:val="0"/>
          <w:sz w:val="32"/>
          <w:szCs w:val="32"/>
        </w:rPr>
        <w:t>年行政执法实施概况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行政许可：</w:t>
      </w:r>
      <w:r>
        <w:rPr>
          <w:rFonts w:hint="eastAsia" w:ascii="仿宋_GB2312" w:hAnsi="仿宋_GB2312" w:eastAsia="仿宋_GB2312" w:cs="仿宋_GB2312"/>
          <w:b w:val="0"/>
          <w:bCs w:val="0"/>
          <w:i w:val="0"/>
          <w:iCs w:val="0"/>
          <w:sz w:val="32"/>
          <w:szCs w:val="32"/>
          <w:lang w:val="en-US" w:eastAsia="zh-CN"/>
        </w:rPr>
        <w:t>根据《中华人民共和国会计法》第三十六条、《中华人民共和国行政许可法》第三十八条和《代理记账管理办</w:t>
      </w:r>
      <w:r>
        <w:rPr>
          <w:rFonts w:hint="eastAsia" w:ascii="仿宋_GB2312" w:hAnsi="仿宋_GB2312" w:eastAsia="仿宋_GB2312" w:cs="仿宋_GB2312"/>
          <w:sz w:val="32"/>
          <w:szCs w:val="32"/>
          <w:lang w:val="en-US" w:eastAsia="zh-CN"/>
        </w:rPr>
        <w:t>法》（财政部令第98号）第二条、第三条规定</w:t>
      </w:r>
      <w:r>
        <w:rPr>
          <w:rFonts w:hint="eastAsia" w:ascii="仿宋_GB2312" w:hAnsi="仿宋_GB2312" w:eastAsia="仿宋_GB2312" w:cs="仿宋_GB2312"/>
          <w:b w:val="0"/>
          <w:bCs w:val="0"/>
          <w:i w:val="0"/>
          <w:iCs w:val="0"/>
          <w:sz w:val="32"/>
          <w:szCs w:val="32"/>
          <w:lang w:val="en-US" w:eastAsia="zh-CN"/>
        </w:rPr>
        <w:t>，申请</w:t>
      </w:r>
      <w:r>
        <w:rPr>
          <w:rFonts w:hint="eastAsia" w:ascii="仿宋_GB2312" w:hAnsi="仿宋_GB2312" w:eastAsia="仿宋_GB2312" w:cs="仿宋_GB2312"/>
          <w:sz w:val="32"/>
          <w:szCs w:val="32"/>
          <w:lang w:val="en-US" w:eastAsia="zh-CN"/>
        </w:rPr>
        <w:t>单位提交办理代理记账许可证申请及相关材料，</w:t>
      </w:r>
      <w:r>
        <w:rPr>
          <w:rFonts w:hint="default"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US" w:eastAsia="zh-CN"/>
        </w:rPr>
        <w:t>共有</w:t>
      </w:r>
      <w:r>
        <w:rPr>
          <w:rFonts w:hint="eastAsia" w:ascii="仿宋_GB2312" w:hAnsi="仿宋_GB2312" w:eastAsia="仿宋_GB2312" w:cs="仿宋_GB2312"/>
          <w:b w:val="0"/>
          <w:bCs w:val="0"/>
          <w:i w:val="0"/>
          <w:iCs w:val="0"/>
          <w:sz w:val="32"/>
          <w:szCs w:val="32"/>
          <w:lang w:val="en-US" w:eastAsia="zh-CN"/>
        </w:rPr>
        <w:t>5家单位</w:t>
      </w:r>
      <w:r>
        <w:rPr>
          <w:rFonts w:hint="eastAsia" w:ascii="仿宋_GB2312" w:hAnsi="仿宋_GB2312" w:eastAsia="仿宋_GB2312" w:cs="仿宋_GB2312"/>
          <w:sz w:val="32"/>
          <w:szCs w:val="32"/>
          <w:lang w:val="en-US" w:eastAsia="zh-CN"/>
        </w:rPr>
        <w:t>取得《代理记账许可证书》。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财政部、国家税务总局《关于非营利组织免税资格认定管理有关问题的通知》（财税〔2018〕13号）和湖北省财政厅、国家税务总局湖北省税务局《关于印发湖北省非营利组织免税资格认定办法的通知》（鄂财税发〔2018〕21号）的规定，</w:t>
      </w:r>
      <w:r>
        <w:rPr>
          <w:rFonts w:hint="eastAsia" w:ascii="仿宋_GB2312" w:hAnsi="仿宋_GB2312" w:eastAsia="仿宋_GB2312" w:cs="仿宋_GB2312"/>
          <w:sz w:val="32"/>
          <w:szCs w:val="32"/>
          <w:lang w:val="en-US" w:eastAsia="zh-CN"/>
        </w:rPr>
        <w:t>曾都</w:t>
      </w:r>
      <w:r>
        <w:rPr>
          <w:rFonts w:hint="default"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lang w:val="en-US" w:eastAsia="zh-CN"/>
        </w:rPr>
        <w:t>曾都</w:t>
      </w:r>
      <w:r>
        <w:rPr>
          <w:rFonts w:hint="default" w:ascii="仿宋_GB2312" w:hAnsi="仿宋_GB2312" w:eastAsia="仿宋_GB2312" w:cs="仿宋_GB2312"/>
          <w:sz w:val="32"/>
          <w:szCs w:val="32"/>
          <w:lang w:val="en-US" w:eastAsia="zh-CN"/>
        </w:rPr>
        <w:t>区税务局联合对</w:t>
      </w:r>
      <w:r>
        <w:rPr>
          <w:rFonts w:hint="eastAsia" w:ascii="仿宋_GB2312" w:hAnsi="仿宋_GB2312" w:eastAsia="仿宋_GB2312" w:cs="仿宋_GB2312"/>
          <w:sz w:val="32"/>
          <w:szCs w:val="32"/>
          <w:lang w:val="en-US" w:eastAsia="zh-CN"/>
        </w:rPr>
        <w:t>曾都</w:t>
      </w:r>
      <w:r>
        <w:rPr>
          <w:rFonts w:hint="default" w:ascii="仿宋_GB2312" w:hAnsi="仿宋_GB2312" w:eastAsia="仿宋_GB2312" w:cs="仿宋_GB2312"/>
          <w:sz w:val="32"/>
          <w:szCs w:val="32"/>
          <w:lang w:val="en-US" w:eastAsia="zh-CN"/>
        </w:rPr>
        <w:t>区级登记管理机构批准设立或登记的非营利组织提交的申请免税资格资料进行了审核，2023年</w:t>
      </w:r>
      <w:r>
        <w:rPr>
          <w:rFonts w:hint="eastAsia" w:ascii="仿宋_GB2312" w:hAnsi="仿宋_GB2312" w:eastAsia="仿宋_GB2312" w:cs="仿宋_GB2312"/>
          <w:sz w:val="32"/>
          <w:szCs w:val="32"/>
          <w:lang w:val="en-US" w:eastAsia="zh-CN"/>
        </w:rPr>
        <w:t>曾都区慈善总会1家单位</w:t>
      </w:r>
      <w:r>
        <w:rPr>
          <w:rFonts w:hint="default" w:ascii="仿宋_GB2312" w:hAnsi="仿宋_GB2312" w:eastAsia="仿宋_GB2312" w:cs="仿宋_GB2312"/>
          <w:sz w:val="32"/>
          <w:szCs w:val="32"/>
          <w:lang w:val="en-US" w:eastAsia="zh-CN"/>
        </w:rPr>
        <w:t>取得度非营利组织免税资格</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行政检查：</w:t>
      </w:r>
      <w:r>
        <w:rPr>
          <w:rFonts w:hint="eastAsia" w:ascii="仿宋_GB2312" w:hAnsi="仿宋_GB2312" w:eastAsia="仿宋_GB2312" w:cs="仿宋_GB2312"/>
          <w:sz w:val="32"/>
          <w:szCs w:val="32"/>
          <w:lang w:val="en-US" w:eastAsia="zh-CN"/>
        </w:rPr>
        <w:t>根据湖北省财政厅《湖北省财政厅关于开展2023年度会计和评估监督检查工作的通知》（鄂财监发[2023]14号）文件精神，对曾都区</w:t>
      </w:r>
      <w:r>
        <w:rPr>
          <w:rFonts w:hint="eastAsia" w:ascii="仿宋_GB2312" w:hAnsi="仿宋_GB2312" w:eastAsia="仿宋_GB2312" w:cs="仿宋_GB2312"/>
          <w:sz w:val="32"/>
          <w:szCs w:val="32"/>
          <w:lang w:val="en-US" w:eastAsia="zh-CN"/>
        </w:rPr>
        <w:t>6家单位2022年度的内控制度建设及执行、预算编制及执行、政府采购、资产管理、财务管理、政府会计制度等相关法律法规执行情况进行了检查，依据《湖北省财政监督检查工作规范（试行）》《湖北省财政部门行政处罚自由裁量权指导规则》《湖北省财政部门行政处罚自由裁量权指导标准》,责令存在问题的单位限期整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3</w:t>
      </w:r>
      <w:r>
        <w:rPr>
          <w:rFonts w:hint="eastAsia" w:ascii="CESI黑体-GB2312" w:hAnsi="CESI黑体-GB2312" w:eastAsia="CESI黑体-GB2312" w:cs="CESI黑体-GB2312"/>
          <w:sz w:val="32"/>
          <w:szCs w:val="32"/>
        </w:rPr>
        <w:t>年度行政执法投诉、举报案件情况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未</w:t>
      </w:r>
      <w:r>
        <w:rPr>
          <w:rFonts w:hint="default" w:ascii="CESI仿宋-GB2312" w:hAnsi="CESI仿宋-GB2312" w:eastAsia="CESI仿宋-GB2312" w:cs="CESI仿宋-GB2312"/>
          <w:sz w:val="32"/>
          <w:szCs w:val="32"/>
        </w:rPr>
        <w:t>受理或其他单位转办的涉及</w:t>
      </w:r>
      <w:r>
        <w:rPr>
          <w:rFonts w:hint="eastAsia" w:ascii="CESI仿宋-GB2312" w:hAnsi="CESI仿宋-GB2312" w:eastAsia="CESI仿宋-GB2312" w:cs="CESI仿宋-GB2312"/>
          <w:sz w:val="32"/>
          <w:szCs w:val="32"/>
        </w:rPr>
        <w:t>行政执法</w:t>
      </w:r>
      <w:r>
        <w:rPr>
          <w:rFonts w:hint="default"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rPr>
        <w:t>投诉、举报案件。</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pPr>
        <w:keepNext w:val="0"/>
        <w:keepLines w:val="0"/>
        <w:pageBreakBefore w:val="0"/>
        <w:numPr>
          <w:numId w:val="0"/>
        </w:numPr>
        <w:kinsoku/>
        <w:wordWrap/>
        <w:overflowPunct/>
        <w:topLinePunct w:val="0"/>
        <w:autoSpaceDE/>
        <w:autoSpaceDN/>
        <w:bidi w:val="0"/>
        <w:adjustRightInd/>
        <w:snapToGrid/>
        <w:spacing w:line="540" w:lineRule="exact"/>
        <w:ind w:firstLine="640" w:firstLineChars="200"/>
        <w:textAlignment w:val="auto"/>
        <w:rPr>
          <w:rFonts w:hint="default"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eastAsia="zh-CN"/>
        </w:rPr>
        <w:t>无</w:t>
      </w: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ind w:firstLine="640" w:firstLineChars="200"/>
        <w:jc w:val="both"/>
        <w:rPr>
          <w:rFonts w:hint="default" w:ascii="CESI仿宋-GB2312" w:hAnsi="CESI仿宋-GB2312" w:eastAsia="CESI仿宋-GB2312" w:cs="CESI仿宋-GB2312"/>
          <w:sz w:val="32"/>
          <w:szCs w:val="32"/>
        </w:rPr>
      </w:pPr>
    </w:p>
    <w:p>
      <w:pPr>
        <w:widowControl w:val="0"/>
        <w:numPr>
          <w:ilvl w:val="0"/>
          <w:numId w:val="0"/>
        </w:numPr>
        <w:wordWrap w:val="0"/>
        <w:ind w:firstLine="960" w:firstLineChars="300"/>
        <w:jc w:val="both"/>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曾都区财政局</w:t>
      </w:r>
      <w:r>
        <w:rPr>
          <w:rFonts w:hint="default" w:ascii="CESI仿宋-GB2312" w:hAnsi="CESI仿宋-GB2312" w:eastAsia="CESI仿宋-GB2312" w:cs="CESI仿宋-GB2312"/>
          <w:sz w:val="32"/>
          <w:szCs w:val="32"/>
        </w:rPr>
        <w:t xml:space="preserve">      </w:t>
      </w:r>
    </w:p>
    <w:p>
      <w:pPr>
        <w:autoSpaceDE w:val="0"/>
        <w:autoSpaceDN w:val="0"/>
        <w:adjustRightInd w:val="0"/>
        <w:snapToGrid w:val="0"/>
        <w:spacing w:line="520" w:lineRule="exact"/>
        <w:jc w:val="center"/>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2024</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4</w:t>
      </w:r>
      <w:r>
        <w:rPr>
          <w:rFonts w:hint="default" w:ascii="CESI仿宋-GB2312" w:hAnsi="CESI仿宋-GB2312" w:eastAsia="CESI仿宋-GB2312" w:cs="CESI仿宋-GB2312"/>
          <w:sz w:val="32"/>
          <w:szCs w:val="32"/>
        </w:rPr>
        <w:t xml:space="preserve">日     </w:t>
      </w:r>
    </w:p>
    <w:p/>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DA65A"/>
    <w:multiLevelType w:val="singleLevel"/>
    <w:tmpl w:val="D02DA65A"/>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26A52C89"/>
    <w:rsid w:val="26A5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2024-01-03T09:08:00Z</dcterms:created>
  <dc:creator>Administrator</dc:creator>
  <cp:lastModifiedBy>Administrator</cp:lastModifiedBy>
  <cp:lastPrinted>2024-01-04T02:54:25Z</cp:lastPrinted>
  <dcterms:modified xsi:type="dcterms:W3CDTF">2024-01-04T02:54:56Z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06B570BC75274728AFB773EB10CB5E45_11</vt:lpwstr>
  </property>
</Properties>
</file>