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="156" w:beforeLines="50"/>
        <w:jc w:val="left"/>
        <w:textAlignment w:val="center"/>
        <w:outlineLvl w:val="0"/>
        <w:rPr>
          <w:rFonts w:ascii="宋体" w:hAnsi="宋体" w:cs="楷体"/>
          <w:b/>
          <w:bCs/>
          <w:color w:val="000000"/>
          <w:kern w:val="0"/>
          <w:sz w:val="32"/>
          <w:szCs w:val="32"/>
        </w:rPr>
      </w:pPr>
    </w:p>
    <w:p>
      <w:pPr>
        <w:widowControl/>
        <w:spacing w:before="156" w:beforeLines="50"/>
        <w:jc w:val="left"/>
        <w:textAlignment w:val="center"/>
        <w:outlineLvl w:val="0"/>
        <w:rPr>
          <w:rFonts w:ascii="宋体" w:hAnsi="宋体" w:cs="楷体"/>
          <w:b/>
          <w:bCs/>
          <w:color w:val="000000"/>
          <w:kern w:val="0"/>
          <w:sz w:val="32"/>
          <w:szCs w:val="32"/>
        </w:rPr>
      </w:pPr>
    </w:p>
    <w:p>
      <w:pPr>
        <w:widowControl/>
        <w:spacing w:before="156" w:beforeLines="50"/>
        <w:jc w:val="left"/>
        <w:textAlignment w:val="center"/>
        <w:outlineLvl w:val="0"/>
        <w:rPr>
          <w:rFonts w:ascii="宋体" w:hAnsi="宋体" w:cs="楷体"/>
          <w:b/>
          <w:bCs/>
          <w:color w:val="000000"/>
          <w:kern w:val="0"/>
          <w:sz w:val="32"/>
          <w:szCs w:val="32"/>
        </w:rPr>
      </w:pPr>
    </w:p>
    <w:p>
      <w:pPr>
        <w:widowControl/>
        <w:spacing w:before="156" w:beforeLines="50"/>
        <w:jc w:val="left"/>
        <w:textAlignment w:val="center"/>
        <w:outlineLvl w:val="0"/>
        <w:rPr>
          <w:rFonts w:hint="eastAsia" w:ascii="宋体" w:hAnsi="宋体" w:cs="楷体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cs="楷体"/>
          <w:b/>
          <w:bCs/>
          <w:color w:val="000000"/>
          <w:kern w:val="0"/>
          <w:sz w:val="32"/>
          <w:szCs w:val="32"/>
        </w:rPr>
        <w:t>附件1：202</w:t>
      </w:r>
      <w:r>
        <w:rPr>
          <w:rFonts w:hint="eastAsia" w:ascii="宋体" w:hAnsi="宋体" w:cs="楷体"/>
          <w:b/>
          <w:bCs/>
          <w:color w:val="000000"/>
          <w:kern w:val="0"/>
          <w:sz w:val="32"/>
          <w:szCs w:val="32"/>
          <w:lang w:val="en-US" w:eastAsia="zh-CN"/>
        </w:rPr>
        <w:t>3</w:t>
      </w:r>
      <w:r>
        <w:rPr>
          <w:rFonts w:hint="eastAsia" w:ascii="宋体" w:hAnsi="宋体" w:cs="楷体"/>
          <w:b/>
          <w:bCs/>
          <w:color w:val="000000"/>
          <w:kern w:val="0"/>
          <w:sz w:val="32"/>
          <w:szCs w:val="32"/>
        </w:rPr>
        <w:t>年度动物及动物产品检疫经费</w:t>
      </w:r>
      <w:r>
        <w:rPr>
          <w:rFonts w:hint="eastAsia" w:ascii="宋体" w:hAnsi="宋体" w:cs="楷体"/>
          <w:b/>
          <w:bCs/>
          <w:color w:val="000000"/>
          <w:kern w:val="0"/>
          <w:sz w:val="32"/>
          <w:szCs w:val="32"/>
          <w:lang w:val="en-US" w:eastAsia="zh-CN"/>
        </w:rPr>
        <w:t>项目评价结果</w:t>
      </w:r>
    </w:p>
    <w:p>
      <w:pPr>
        <w:widowControl/>
        <w:spacing w:before="156" w:beforeLines="50"/>
        <w:ind w:firstLine="643" w:firstLineChars="200"/>
        <w:jc w:val="left"/>
        <w:textAlignment w:val="center"/>
        <w:outlineLvl w:val="0"/>
        <w:rPr>
          <w:rFonts w:hint="eastAsia" w:ascii="宋体" w:hAnsi="宋体" w:cs="楷体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cs="楷体"/>
          <w:b/>
          <w:bCs/>
          <w:color w:val="000000"/>
          <w:kern w:val="0"/>
          <w:sz w:val="32"/>
          <w:szCs w:val="32"/>
        </w:rPr>
        <w:t>2：202</w:t>
      </w:r>
      <w:r>
        <w:rPr>
          <w:rFonts w:hint="eastAsia" w:ascii="宋体" w:hAnsi="宋体" w:cs="楷体"/>
          <w:b/>
          <w:bCs/>
          <w:color w:val="000000"/>
          <w:kern w:val="0"/>
          <w:sz w:val="32"/>
          <w:szCs w:val="32"/>
          <w:lang w:val="en-US" w:eastAsia="zh-CN"/>
        </w:rPr>
        <w:t>3</w:t>
      </w:r>
      <w:r>
        <w:rPr>
          <w:rFonts w:hint="eastAsia" w:ascii="宋体" w:hAnsi="宋体" w:cs="楷体"/>
          <w:b/>
          <w:bCs/>
          <w:color w:val="000000"/>
          <w:kern w:val="0"/>
          <w:sz w:val="32"/>
          <w:szCs w:val="32"/>
        </w:rPr>
        <w:t>年度</w:t>
      </w:r>
      <w:r>
        <w:rPr>
          <w:rFonts w:hint="eastAsia" w:ascii="宋体" w:hAnsi="宋体" w:cs="楷体"/>
          <w:b/>
          <w:bCs/>
          <w:color w:val="000000"/>
          <w:kern w:val="0"/>
          <w:sz w:val="32"/>
          <w:szCs w:val="32"/>
          <w:lang w:val="en-US" w:eastAsia="zh-CN"/>
        </w:rPr>
        <w:t>基本公共卫生服务项目评价结果</w:t>
      </w:r>
    </w:p>
    <w:p>
      <w:pPr>
        <w:widowControl/>
        <w:spacing w:before="156" w:beforeLines="50"/>
        <w:ind w:firstLine="643" w:firstLineChars="200"/>
        <w:jc w:val="left"/>
        <w:textAlignment w:val="center"/>
        <w:outlineLvl w:val="0"/>
        <w:rPr>
          <w:rFonts w:hint="eastAsia" w:ascii="宋体" w:hAnsi="宋体" w:cs="楷体"/>
          <w:b/>
          <w:bCs/>
          <w:color w:val="000000"/>
          <w:kern w:val="0"/>
          <w:sz w:val="32"/>
          <w:szCs w:val="32"/>
        </w:rPr>
      </w:pPr>
      <w:r>
        <w:rPr>
          <w:rFonts w:hint="eastAsia" w:ascii="宋体" w:hAnsi="宋体" w:cs="楷体"/>
          <w:b/>
          <w:bCs/>
          <w:color w:val="000000"/>
          <w:kern w:val="0"/>
          <w:sz w:val="32"/>
          <w:szCs w:val="32"/>
        </w:rPr>
        <w:t>3：202</w:t>
      </w:r>
      <w:r>
        <w:rPr>
          <w:rFonts w:hint="eastAsia" w:ascii="宋体" w:hAnsi="宋体" w:cs="楷体"/>
          <w:b/>
          <w:bCs/>
          <w:color w:val="000000"/>
          <w:kern w:val="0"/>
          <w:sz w:val="32"/>
          <w:szCs w:val="32"/>
          <w:lang w:val="en-US" w:eastAsia="zh-CN"/>
        </w:rPr>
        <w:t>3年度项目前期费项目</w:t>
      </w:r>
      <w:r>
        <w:rPr>
          <w:rFonts w:hint="eastAsia" w:ascii="宋体" w:hAnsi="宋体" w:cs="楷体"/>
          <w:b/>
          <w:bCs/>
          <w:color w:val="000000"/>
          <w:kern w:val="0"/>
          <w:sz w:val="32"/>
          <w:szCs w:val="32"/>
        </w:rPr>
        <w:t>评价结果</w:t>
      </w:r>
    </w:p>
    <w:p>
      <w:pPr>
        <w:widowControl/>
        <w:spacing w:before="156" w:beforeLines="50"/>
        <w:ind w:firstLine="643" w:firstLineChars="200"/>
        <w:jc w:val="left"/>
        <w:textAlignment w:val="center"/>
        <w:outlineLvl w:val="0"/>
        <w:rPr>
          <w:rFonts w:hint="eastAsia" w:ascii="宋体" w:hAnsi="宋体" w:cs="楷体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cs="楷体"/>
          <w:b/>
          <w:bCs/>
          <w:color w:val="000000"/>
          <w:kern w:val="0"/>
          <w:sz w:val="32"/>
          <w:szCs w:val="32"/>
        </w:rPr>
        <w:t>4</w:t>
      </w:r>
      <w:r>
        <w:rPr>
          <w:rFonts w:hint="eastAsia" w:ascii="宋体" w:hAnsi="宋体" w:cs="楷体"/>
          <w:b/>
          <w:bCs/>
          <w:color w:val="000000"/>
          <w:kern w:val="0"/>
          <w:sz w:val="32"/>
          <w:szCs w:val="32"/>
          <w:lang w:eastAsia="zh-CN"/>
        </w:rPr>
        <w:t>：</w:t>
      </w:r>
      <w:r>
        <w:rPr>
          <w:rFonts w:hint="eastAsia" w:ascii="宋体" w:hAnsi="宋体" w:cs="楷体"/>
          <w:b/>
          <w:bCs/>
          <w:color w:val="000000"/>
          <w:kern w:val="0"/>
          <w:sz w:val="32"/>
          <w:szCs w:val="32"/>
          <w:lang w:val="en-US" w:eastAsia="zh-CN"/>
        </w:rPr>
        <w:t>2023年度义务教育薄弱环节改善与能力提升专项资金校舍建设类项目-教学楼改扩建项目评价结果</w:t>
      </w:r>
    </w:p>
    <w:p>
      <w:pPr>
        <w:widowControl/>
        <w:spacing w:before="156" w:beforeLines="50"/>
        <w:jc w:val="left"/>
        <w:textAlignment w:val="center"/>
        <w:outlineLvl w:val="0"/>
        <w:rPr>
          <w:rFonts w:ascii="宋体" w:hAnsi="宋体" w:cs="楷体"/>
          <w:b/>
          <w:bCs/>
          <w:color w:val="000000"/>
          <w:kern w:val="0"/>
          <w:sz w:val="32"/>
          <w:szCs w:val="32"/>
        </w:rPr>
      </w:pPr>
    </w:p>
    <w:p>
      <w:pPr>
        <w:widowControl/>
        <w:spacing w:before="156" w:beforeLines="50"/>
        <w:jc w:val="left"/>
        <w:textAlignment w:val="center"/>
        <w:outlineLvl w:val="0"/>
        <w:rPr>
          <w:rFonts w:ascii="宋体" w:hAnsi="宋体" w:cs="楷体"/>
          <w:b/>
          <w:bCs/>
          <w:color w:val="000000"/>
          <w:kern w:val="0"/>
          <w:sz w:val="32"/>
          <w:szCs w:val="32"/>
        </w:rPr>
      </w:pPr>
      <w:bookmarkStart w:id="0" w:name="_GoBack"/>
      <w:bookmarkEnd w:id="0"/>
    </w:p>
    <w:p>
      <w:pPr>
        <w:widowControl/>
        <w:spacing w:before="156" w:beforeLines="50"/>
        <w:jc w:val="left"/>
        <w:textAlignment w:val="center"/>
        <w:outlineLvl w:val="0"/>
        <w:rPr>
          <w:rFonts w:ascii="宋体" w:hAnsi="宋体" w:cs="楷体"/>
          <w:b/>
          <w:bCs/>
          <w:color w:val="000000"/>
          <w:kern w:val="0"/>
          <w:sz w:val="32"/>
          <w:szCs w:val="32"/>
        </w:rPr>
      </w:pPr>
    </w:p>
    <w:p>
      <w:pPr>
        <w:widowControl/>
        <w:spacing w:before="156" w:beforeLines="50"/>
        <w:jc w:val="left"/>
        <w:textAlignment w:val="center"/>
        <w:outlineLvl w:val="0"/>
        <w:rPr>
          <w:rFonts w:ascii="宋体" w:hAnsi="宋体" w:cs="楷体"/>
          <w:b/>
          <w:bCs/>
          <w:color w:val="000000"/>
          <w:kern w:val="0"/>
          <w:sz w:val="32"/>
          <w:szCs w:val="32"/>
        </w:rPr>
      </w:pPr>
    </w:p>
    <w:p>
      <w:pPr>
        <w:widowControl/>
        <w:spacing w:before="156" w:beforeLines="50"/>
        <w:jc w:val="left"/>
        <w:textAlignment w:val="center"/>
        <w:outlineLvl w:val="0"/>
        <w:rPr>
          <w:rFonts w:ascii="宋体" w:hAnsi="宋体" w:cs="楷体"/>
          <w:b/>
          <w:bCs/>
          <w:color w:val="000000"/>
          <w:kern w:val="0"/>
          <w:sz w:val="32"/>
          <w:szCs w:val="32"/>
        </w:rPr>
      </w:pPr>
    </w:p>
    <w:p>
      <w:pPr>
        <w:widowControl/>
        <w:spacing w:before="156" w:beforeLines="50"/>
        <w:jc w:val="left"/>
        <w:textAlignment w:val="center"/>
        <w:outlineLvl w:val="0"/>
        <w:rPr>
          <w:rFonts w:ascii="宋体" w:hAnsi="宋体" w:cs="楷体"/>
          <w:b/>
          <w:bCs/>
          <w:color w:val="000000"/>
          <w:kern w:val="0"/>
          <w:sz w:val="32"/>
          <w:szCs w:val="32"/>
        </w:rPr>
      </w:pPr>
    </w:p>
    <w:p>
      <w:pPr>
        <w:widowControl/>
        <w:spacing w:before="156" w:beforeLines="50"/>
        <w:jc w:val="left"/>
        <w:textAlignment w:val="center"/>
        <w:outlineLvl w:val="0"/>
        <w:rPr>
          <w:rFonts w:ascii="宋体" w:hAnsi="宋体" w:cs="楷体"/>
          <w:b/>
          <w:bCs/>
          <w:color w:val="000000"/>
          <w:kern w:val="0"/>
          <w:sz w:val="32"/>
          <w:szCs w:val="32"/>
        </w:rPr>
      </w:pPr>
    </w:p>
    <w:p>
      <w:pPr>
        <w:widowControl/>
        <w:spacing w:before="156" w:beforeLines="50"/>
        <w:jc w:val="left"/>
        <w:textAlignment w:val="center"/>
        <w:outlineLvl w:val="0"/>
        <w:rPr>
          <w:rFonts w:ascii="宋体" w:hAnsi="宋体" w:cs="楷体"/>
          <w:b/>
          <w:bCs/>
          <w:color w:val="000000"/>
          <w:kern w:val="0"/>
          <w:sz w:val="32"/>
          <w:szCs w:val="32"/>
        </w:rPr>
      </w:pPr>
    </w:p>
    <w:p>
      <w:pPr>
        <w:widowControl/>
        <w:spacing w:before="156" w:beforeLines="50"/>
        <w:jc w:val="left"/>
        <w:textAlignment w:val="center"/>
        <w:outlineLvl w:val="0"/>
        <w:rPr>
          <w:rFonts w:ascii="宋体" w:hAnsi="宋体" w:cs="楷体"/>
          <w:b/>
          <w:bCs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cs="楷体" w:eastAsiaTheme="minorEastAsia"/>
          <w:b/>
          <w:bCs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before="156" w:beforeLines="50"/>
        <w:jc w:val="left"/>
        <w:textAlignment w:val="center"/>
        <w:outlineLvl w:val="0"/>
        <w:rPr>
          <w:rFonts w:ascii="宋体" w:hAnsi="宋体" w:cs="楷体"/>
          <w:b/>
          <w:bCs/>
          <w:color w:val="000000"/>
          <w:kern w:val="0"/>
          <w:sz w:val="32"/>
          <w:szCs w:val="32"/>
        </w:rPr>
      </w:pPr>
      <w:r>
        <w:rPr>
          <w:rFonts w:hint="eastAsia" w:ascii="宋体" w:hAnsi="宋体" w:cs="楷体"/>
          <w:b/>
          <w:bCs/>
          <w:color w:val="000000"/>
          <w:kern w:val="0"/>
          <w:sz w:val="32"/>
          <w:szCs w:val="32"/>
        </w:rPr>
        <w:t>附件1：202</w:t>
      </w:r>
      <w:r>
        <w:rPr>
          <w:rFonts w:hint="eastAsia" w:ascii="宋体" w:hAnsi="宋体" w:cs="楷体"/>
          <w:b/>
          <w:bCs/>
          <w:color w:val="000000"/>
          <w:kern w:val="0"/>
          <w:sz w:val="32"/>
          <w:szCs w:val="32"/>
          <w:lang w:val="en-US" w:eastAsia="zh-CN"/>
        </w:rPr>
        <w:t>3</w:t>
      </w:r>
      <w:r>
        <w:rPr>
          <w:rFonts w:hint="eastAsia" w:ascii="宋体" w:hAnsi="宋体" w:cs="楷体"/>
          <w:b/>
          <w:bCs/>
          <w:color w:val="000000"/>
          <w:kern w:val="0"/>
          <w:sz w:val="32"/>
          <w:szCs w:val="32"/>
        </w:rPr>
        <w:t>年度动物及动物产品检疫经费</w:t>
      </w:r>
      <w:r>
        <w:rPr>
          <w:rFonts w:hint="eastAsia" w:ascii="宋体" w:hAnsi="宋体" w:cs="楷体"/>
          <w:b/>
          <w:bCs/>
          <w:color w:val="000000"/>
          <w:kern w:val="0"/>
          <w:sz w:val="32"/>
          <w:szCs w:val="32"/>
          <w:lang w:val="en-US" w:eastAsia="zh-CN"/>
        </w:rPr>
        <w:t>项目评价结果</w:t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0500" cy="7274560"/>
            <wp:effectExtent l="0" t="0" r="6350" b="2540"/>
            <wp:docPr id="7" name="图片 7" descr="截图_选择区域_20241016094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图_选择区域_202410160948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7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191125" cy="6838950"/>
            <wp:effectExtent l="0" t="0" r="9525" b="0"/>
            <wp:docPr id="8" name="图片 8" descr="截图_选择区域_20241016094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截图_选择区域_202410160948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</w:rPr>
      </w:pPr>
    </w:p>
    <w:p>
      <w:pPr>
        <w:pStyle w:val="2"/>
        <w:rPr>
          <w:rFonts w:hint="eastAsia" w:ascii="Arial Narrow" w:hAnsi="Arial Narrow" w:eastAsiaTheme="minorEastAsia"/>
          <w:sz w:val="28"/>
          <w:szCs w:val="28"/>
          <w:lang w:eastAsia="zh-CN"/>
        </w:rPr>
      </w:pPr>
      <w:r>
        <w:rPr>
          <w:rFonts w:hint="eastAsia" w:ascii="宋体" w:hAnsi="宋体" w:cs="楷体" w:eastAsiaTheme="minorEastAsia"/>
          <w:b/>
          <w:bCs/>
          <w:color w:val="000000"/>
          <w:kern w:val="0"/>
          <w:sz w:val="32"/>
          <w:szCs w:val="32"/>
          <w:lang w:val="en-US" w:eastAsia="zh-CN" w:bidi="ar-SA"/>
        </w:rPr>
        <w:t>附件2：2023年度基本公共卫生服务项目评价结果</w:t>
      </w:r>
      <w:r>
        <w:rPr>
          <w:rFonts w:hint="eastAsia" w:ascii="Arial Narrow" w:hAnsi="Arial Narrow" w:eastAsiaTheme="minorEastAsia"/>
          <w:sz w:val="28"/>
          <w:szCs w:val="28"/>
          <w:lang w:eastAsia="zh-CN"/>
        </w:rPr>
        <w:drawing>
          <wp:inline distT="0" distB="0" distL="114300" distR="114300">
            <wp:extent cx="5153025" cy="7496175"/>
            <wp:effectExtent l="0" t="0" r="9525" b="9525"/>
            <wp:docPr id="9" name="图片 9" descr="截图_选择区域_20241016094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图_选择区域_202410160947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 Narrow" w:hAnsi="Arial Narrow" w:eastAsiaTheme="minorEastAsia"/>
          <w:sz w:val="28"/>
          <w:szCs w:val="28"/>
          <w:lang w:eastAsia="zh-CN"/>
        </w:rPr>
        <w:drawing>
          <wp:inline distT="0" distB="0" distL="114300" distR="114300">
            <wp:extent cx="5172075" cy="7429500"/>
            <wp:effectExtent l="0" t="0" r="9525" b="0"/>
            <wp:docPr id="10" name="图片 10" descr="截图_选择区域_20241016094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截图_选择区域_202410160947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56" w:beforeLines="50"/>
        <w:jc w:val="left"/>
        <w:textAlignment w:val="center"/>
        <w:outlineLvl w:val="0"/>
        <w:rPr>
          <w:rFonts w:hint="eastAsia" w:ascii="Arial Narrow" w:hAnsi="Arial Narrow"/>
          <w:sz w:val="28"/>
          <w:szCs w:val="28"/>
        </w:rPr>
      </w:pPr>
    </w:p>
    <w:p>
      <w:pPr>
        <w:widowControl/>
        <w:spacing w:before="156" w:beforeLines="50"/>
        <w:jc w:val="left"/>
        <w:textAlignment w:val="center"/>
        <w:outlineLvl w:val="0"/>
        <w:rPr>
          <w:rFonts w:hint="eastAsia" w:ascii="Arial Narrow" w:hAnsi="Arial Narrow"/>
          <w:sz w:val="28"/>
          <w:szCs w:val="28"/>
        </w:rPr>
      </w:pPr>
    </w:p>
    <w:p>
      <w:pPr>
        <w:widowControl/>
        <w:spacing w:before="156" w:beforeLines="50"/>
        <w:jc w:val="left"/>
        <w:textAlignment w:val="center"/>
        <w:outlineLvl w:val="0"/>
        <w:rPr>
          <w:rFonts w:hint="eastAsia" w:ascii="宋体" w:hAnsi="宋体" w:cs="楷体" w:eastAsiaTheme="minorEastAsia"/>
          <w:b/>
          <w:bCs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宋体" w:hAnsi="宋体" w:cs="楷体" w:eastAsiaTheme="minorEastAsia"/>
          <w:b/>
          <w:bCs/>
          <w:color w:val="000000"/>
          <w:kern w:val="0"/>
          <w:sz w:val="32"/>
          <w:szCs w:val="32"/>
          <w:lang w:val="en-US" w:eastAsia="zh-CN" w:bidi="ar-SA"/>
        </w:rPr>
        <w:t>附件3：2023年度项目前期费项目评价结果</w:t>
      </w:r>
      <w:r>
        <w:rPr>
          <w:rFonts w:hint="eastAsia" w:ascii="宋体" w:hAnsi="宋体" w:cs="楷体" w:eastAsiaTheme="minorEastAsia"/>
          <w:b/>
          <w:bCs/>
          <w:color w:val="000000"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5272405" cy="6242685"/>
            <wp:effectExtent l="0" t="0" r="4445" b="5715"/>
            <wp:docPr id="11" name="图片 11" descr="截图_选择区域_2024101610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截图_选择区域_202410161003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24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楷体" w:eastAsiaTheme="minorEastAsia"/>
          <w:b/>
          <w:bCs/>
          <w:color w:val="000000"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5267960" cy="5311775"/>
            <wp:effectExtent l="0" t="0" r="8890" b="3175"/>
            <wp:docPr id="13" name="图片 13" descr="截图_选择区域_2024101610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截图_选择区域_202410161003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31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560" w:lineRule="exact"/>
        <w:ind w:firstLine="600" w:firstLineChars="200"/>
        <w:jc w:val="left"/>
        <w:rPr>
          <w:rFonts w:hint="eastAsia" w:ascii="宋体" w:hAnsi="宋体" w:cs="Arial Narrow" w:eastAsiaTheme="minorEastAsia"/>
          <w:sz w:val="30"/>
          <w:szCs w:val="30"/>
          <w:lang w:eastAsia="zh-CN"/>
        </w:rPr>
      </w:pPr>
    </w:p>
    <w:p>
      <w:pPr>
        <w:widowControl/>
        <w:spacing w:line="560" w:lineRule="exact"/>
        <w:ind w:firstLine="600" w:firstLineChars="200"/>
        <w:jc w:val="left"/>
        <w:rPr>
          <w:rFonts w:hint="eastAsia" w:ascii="宋体" w:hAnsi="宋体" w:cs="Arial Narrow"/>
          <w:sz w:val="30"/>
          <w:szCs w:val="30"/>
        </w:rPr>
      </w:pPr>
    </w:p>
    <w:p>
      <w:pPr>
        <w:widowControl/>
        <w:spacing w:before="156" w:beforeLines="50"/>
        <w:ind w:left="1285" w:hanging="1285" w:hangingChars="400"/>
        <w:jc w:val="left"/>
        <w:textAlignment w:val="center"/>
        <w:outlineLvl w:val="0"/>
        <w:rPr>
          <w:rFonts w:hint="eastAsia" w:ascii="宋体" w:hAnsi="宋体" w:cs="楷体" w:eastAsiaTheme="minorEastAsia"/>
          <w:b/>
          <w:bCs/>
          <w:color w:val="000000"/>
          <w:kern w:val="0"/>
          <w:sz w:val="32"/>
          <w:szCs w:val="32"/>
          <w:lang w:val="en-US" w:eastAsia="zh-CN" w:bidi="ar-SA"/>
        </w:rPr>
      </w:pPr>
    </w:p>
    <w:p>
      <w:pPr>
        <w:widowControl/>
        <w:spacing w:before="156" w:beforeLines="50"/>
        <w:ind w:left="1285" w:hanging="1285" w:hangingChars="400"/>
        <w:jc w:val="left"/>
        <w:textAlignment w:val="center"/>
        <w:outlineLvl w:val="0"/>
        <w:rPr>
          <w:rFonts w:hint="eastAsia" w:ascii="宋体" w:hAnsi="宋体" w:cs="楷体" w:eastAsiaTheme="minorEastAsia"/>
          <w:b/>
          <w:bCs/>
          <w:color w:val="000000"/>
          <w:kern w:val="0"/>
          <w:sz w:val="32"/>
          <w:szCs w:val="32"/>
          <w:lang w:val="en-US" w:eastAsia="zh-CN" w:bidi="ar-SA"/>
        </w:rPr>
      </w:pPr>
    </w:p>
    <w:p>
      <w:pPr>
        <w:widowControl/>
        <w:spacing w:before="156" w:beforeLines="50"/>
        <w:ind w:left="1285" w:hanging="1285" w:hangingChars="400"/>
        <w:jc w:val="left"/>
        <w:textAlignment w:val="center"/>
        <w:outlineLvl w:val="0"/>
        <w:rPr>
          <w:rFonts w:hint="eastAsia" w:ascii="宋体" w:hAnsi="宋体" w:cs="楷体" w:eastAsiaTheme="minorEastAsia"/>
          <w:b/>
          <w:bCs/>
          <w:color w:val="000000"/>
          <w:kern w:val="0"/>
          <w:sz w:val="32"/>
          <w:szCs w:val="32"/>
          <w:lang w:val="en-US" w:eastAsia="zh-CN" w:bidi="ar-SA"/>
        </w:rPr>
      </w:pPr>
    </w:p>
    <w:p>
      <w:pPr>
        <w:widowControl/>
        <w:spacing w:before="156" w:beforeLines="50"/>
        <w:ind w:left="1285" w:hanging="1285" w:hangingChars="400"/>
        <w:jc w:val="left"/>
        <w:textAlignment w:val="center"/>
        <w:outlineLvl w:val="0"/>
        <w:rPr>
          <w:rFonts w:hint="eastAsia" w:ascii="宋体" w:hAnsi="宋体" w:cs="楷体" w:eastAsiaTheme="minorEastAsia"/>
          <w:b/>
          <w:bCs/>
          <w:color w:val="000000"/>
          <w:kern w:val="0"/>
          <w:sz w:val="32"/>
          <w:szCs w:val="32"/>
          <w:lang w:val="en-US" w:eastAsia="zh-CN" w:bidi="ar-SA"/>
        </w:rPr>
      </w:pPr>
    </w:p>
    <w:p>
      <w:pPr>
        <w:widowControl/>
        <w:spacing w:before="156" w:beforeLines="50"/>
        <w:ind w:left="1285" w:hanging="1285" w:hangingChars="400"/>
        <w:jc w:val="left"/>
        <w:textAlignment w:val="center"/>
        <w:outlineLvl w:val="0"/>
        <w:rPr>
          <w:rFonts w:hint="eastAsia" w:ascii="宋体" w:hAnsi="宋体" w:cs="楷体" w:eastAsiaTheme="minorEastAsia"/>
          <w:b/>
          <w:bCs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宋体" w:hAnsi="宋体" w:cs="楷体" w:eastAsiaTheme="minorEastAsia"/>
          <w:b/>
          <w:bCs/>
          <w:color w:val="000000"/>
          <w:kern w:val="0"/>
          <w:sz w:val="32"/>
          <w:szCs w:val="32"/>
          <w:lang w:val="en-US" w:eastAsia="zh-CN" w:bidi="ar-SA"/>
        </w:rPr>
        <w:t>附件4：2023年度义务教育薄弱环节改善与能力提升专项资金校舍建设类项目-教学楼改扩建项目评价结果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882130"/>
            <wp:effectExtent l="0" t="0" r="6985" b="13970"/>
            <wp:docPr id="14" name="图片 14" descr="截图_选择区域_2024101610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截图_选择区域_202410161005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8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5736590"/>
            <wp:effectExtent l="0" t="0" r="6985" b="16510"/>
            <wp:docPr id="15" name="图片 15" descr="截图_选择区域_2024101610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截图_选择区域_202410161005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73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RjZmUxYjYyNGRlNzM2ZDkxN2U4MmE2ZTM0ODIxMzcifQ=="/>
  </w:docVars>
  <w:rsids>
    <w:rsidRoot w:val="00000000"/>
    <w:rsid w:val="03A750B6"/>
    <w:rsid w:val="40306525"/>
    <w:rsid w:val="6A3559FB"/>
    <w:rsid w:val="6F846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9"/>
    <w:pPr>
      <w:keepNext/>
      <w:keepLines/>
      <w:spacing w:line="360" w:lineRule="auto"/>
      <w:jc w:val="left"/>
      <w:outlineLvl w:val="0"/>
    </w:pPr>
    <w:rPr>
      <w:rFonts w:ascii="Times New Roman" w:hAnsi="Times New Roman" w:eastAsia="仿宋_GB2312" w:cs="Times New Roman"/>
      <w:b/>
      <w:bCs/>
      <w:kern w:val="44"/>
      <w:sz w:val="28"/>
      <w:szCs w:val="2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font41"/>
    <w:basedOn w:val="4"/>
    <w:qFormat/>
    <w:uiPriority w:val="0"/>
    <w:rPr>
      <w:rFonts w:ascii="Arial" w:hAnsi="Arial" w:cs="Arial"/>
      <w:color w:val="000000"/>
      <w:sz w:val="24"/>
      <w:szCs w:val="24"/>
      <w:u w:val="none"/>
    </w:rPr>
  </w:style>
  <w:style w:type="character" w:customStyle="1" w:styleId="6">
    <w:name w:val="font01"/>
    <w:basedOn w:val="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paragraph" w:customStyle="1" w:styleId="7">
    <w:name w:val="Body text|1"/>
    <w:basedOn w:val="1"/>
    <w:autoRedefine/>
    <w:qFormat/>
    <w:uiPriority w:val="0"/>
    <w:pPr>
      <w:spacing w:before="100" w:beforeAutospacing="1" w:after="100" w:line="444" w:lineRule="auto"/>
      <w:ind w:firstLine="400"/>
    </w:pPr>
    <w:rPr>
      <w:rFonts w:ascii="宋体" w:hAnsi="宋体" w:eastAsia="宋体" w:cs="宋体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2023-10-12T00:55:00Z</dcterms:created>
  <dc:creator>Administrator</dc:creator>
  <cp:lastModifiedBy>。。。</cp:lastModifiedBy>
  <dcterms:modified xsi:type="dcterms:W3CDTF">2024-10-16T02:38:36Z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010A257FCB944874B176F805E6CBE44F_12</vt:lpwstr>
  </property>
</Properties>
</file>