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default" w:ascii="黑体" w:hAnsi="宋体" w:eastAsia="黑体" w:cs="微软雅黑"/>
          <w:spacing w:val="0"/>
          <w:kern w:val="2"/>
          <w:sz w:val="44"/>
          <w:szCs w:val="44"/>
          <w:shd w:val="clear" w:fill="FFFFFF"/>
        </w:rPr>
      </w:pPr>
      <w:r>
        <w:rPr>
          <w:rFonts w:hint="default" w:ascii="黑体" w:hAnsi="宋体" w:eastAsia="黑体" w:cs="微软雅黑"/>
          <w:spacing w:val="0"/>
          <w:kern w:val="2"/>
          <w:sz w:val="44"/>
          <w:szCs w:val="44"/>
          <w:shd w:val="clear" w:fill="FFFFFF"/>
          <w:lang w:val="en-US" w:eastAsia="zh-CN" w:bidi="ar"/>
        </w:rPr>
        <w:t>20</w:t>
      </w:r>
      <w:r>
        <w:rPr>
          <w:rFonts w:hint="default" w:ascii="黑体" w:hAnsi="宋体" w:eastAsia="黑体" w:cs="黑体"/>
          <w:spacing w:val="0"/>
          <w:kern w:val="2"/>
          <w:sz w:val="44"/>
          <w:szCs w:val="44"/>
          <w:shd w:val="clear" w:fill="FFFFFF"/>
          <w:lang w:val="en-US" w:eastAsia="zh-CN" w:bidi="ar"/>
        </w:rPr>
        <w:t>2</w:t>
      </w:r>
      <w:r>
        <w:rPr>
          <w:rFonts w:hint="eastAsia" w:ascii="黑体" w:hAnsi="宋体" w:eastAsia="黑体" w:cs="黑体"/>
          <w:spacing w:val="0"/>
          <w:kern w:val="2"/>
          <w:sz w:val="44"/>
          <w:szCs w:val="44"/>
          <w:shd w:val="clear" w:fill="FFFFFF"/>
          <w:lang w:val="en-US" w:eastAsia="zh-CN" w:bidi="ar"/>
        </w:rPr>
        <w:t>3</w:t>
      </w:r>
      <w:r>
        <w:rPr>
          <w:rFonts w:hint="default" w:ascii="黑体" w:hAnsi="宋体" w:eastAsia="黑体" w:cs="黑体"/>
          <w:spacing w:val="0"/>
          <w:kern w:val="2"/>
          <w:sz w:val="44"/>
          <w:szCs w:val="44"/>
          <w:shd w:val="clear" w:fill="FFFFFF"/>
          <w:lang w:val="en-US" w:eastAsia="zh-CN" w:bidi="ar"/>
        </w:rPr>
        <w:t>年</w:t>
      </w:r>
      <w:r>
        <w:rPr>
          <w:rFonts w:hint="eastAsia" w:ascii="黑体" w:hAnsi="宋体" w:eastAsia="黑体" w:cs="黑体"/>
          <w:spacing w:val="0"/>
          <w:kern w:val="2"/>
          <w:sz w:val="44"/>
          <w:szCs w:val="44"/>
          <w:shd w:val="clear" w:fill="FFFFFF"/>
          <w:lang w:val="en-US" w:eastAsia="zh-CN" w:bidi="ar"/>
        </w:rPr>
        <w:t>曾都区</w:t>
      </w:r>
      <w:r>
        <w:rPr>
          <w:rFonts w:hint="default" w:ascii="黑体" w:hAnsi="宋体" w:eastAsia="黑体" w:cs="黑体"/>
          <w:spacing w:val="0"/>
          <w:kern w:val="2"/>
          <w:sz w:val="44"/>
          <w:szCs w:val="44"/>
          <w:shd w:val="clear" w:fill="FFFFFF"/>
          <w:lang w:val="en-US" w:eastAsia="zh-CN" w:bidi="ar"/>
        </w:rPr>
        <w:t>绩效管理情况说明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3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  <w:shd w:val="clear" w:color="auto" w:fill="FFFFFF"/>
          <w:lang w:val="en-US" w:eastAsia="zh-CN" w:bidi="ar-SA"/>
        </w:rPr>
        <w:t>一、持续做优事前绩效评价。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持续探索推进事前绩效评估工作，将绩效结果与绩效应用挂钩，从立项必要性、投入经济性、绩效目标合理性、实施方案</w:t>
      </w:r>
      <w:bookmarkStart w:id="2" w:name="_GoBack"/>
      <w:bookmarkEnd w:id="2"/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有效性、筹资合规性五个方面开展事前绩效评价工作。评价结果为“良”的项目，在调整完善后给予支持，后期将重点对细化绩效目标、按计划完成项目建设内容等问题上进行绩效监控，并相应的提出纠偏措施。评估结果直接作为安排资金的决策依据，评价范围扩展到政府重大决策与政策性支持项目。</w:t>
      </w:r>
    </w:p>
    <w:p>
      <w:pPr>
        <w:numPr>
          <w:ilvl w:val="0"/>
          <w:numId w:val="0"/>
        </w:numPr>
        <w:spacing w:line="600" w:lineRule="exact"/>
        <w:ind w:firstLine="643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  <w:shd w:val="clear" w:color="auto" w:fill="FFFFFF"/>
          <w:lang w:val="en-US" w:eastAsia="zh-CN" w:bidi="ar-SA"/>
        </w:rPr>
        <w:t>二、持续完善绩效目标编报。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在2024年度预算编制过程中，全区各预算单位都实现了绩效目标管理与部门预算编制一同申报、一同审核、一同批复，做到了区本级“四本”预算绩效目标全覆盖且常态化。通过设定便于衡量、分析、比较和评价的靶向目标，将绩效目标的个性指标细化量化，确保项目建设严格按既定绩效目标运行。</w:t>
      </w:r>
    </w:p>
    <w:p>
      <w:pPr>
        <w:spacing w:line="600" w:lineRule="exact"/>
        <w:ind w:firstLine="643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  <w:shd w:val="clear" w:color="auto" w:fill="FFFFFF"/>
          <w:lang w:val="en-US" w:eastAsia="zh-CN" w:bidi="ar-SA"/>
        </w:rPr>
        <w:t>三、持续做细事中跟踪评价。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2023年，将部门预算项目绩效目标与资金指标同时下达执行，充分发挥扶贫资金动态监控系统作用，实时动态监控；加强绩效信息采集工作，定期跟踪和监控绩效信息，将绩效监控与各类财政监督检查相结合，重点检查扶贫资金、债券资金及直达资金等，预算执行与绩效运行“双监控”已成为预算管理常态，每笔资金预算指标的拨付下达，都能监测到绩效指标的动态变化。以预算批复时确定的绩效目标为基准，若出现预算支出绩效运行与绩效目标相违背的情况，及时采取相应的解决措施加以调整。</w:t>
      </w:r>
    </w:p>
    <w:p>
      <w:pPr>
        <w:spacing w:line="600" w:lineRule="exact"/>
        <w:ind w:firstLine="643" w:firstLineChars="200"/>
        <w:jc w:val="both"/>
        <w:rPr>
          <w:rFonts w:hint="eastAsia" w:ascii="仿宋_GB2312" w:hAnsi="ˎ̥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  <w:shd w:val="clear" w:color="auto" w:fill="FFFFFF"/>
          <w:lang w:val="en-US" w:eastAsia="zh-CN" w:bidi="ar-SA"/>
        </w:rPr>
        <w:t>四、持续做深事后综合评价。</w:t>
      </w:r>
      <w:r>
        <w:rPr>
          <w:rFonts w:hint="eastAsia" w:ascii="仿宋_GB2312" w:hAnsi="ˎ̥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一方面，积</w:t>
      </w:r>
      <w:r>
        <w:rPr>
          <w:rFonts w:hint="eastAsia" w:ascii="仿宋_GB2312" w:hAnsi="ˎ̥" w:eastAsia="仿宋_GB2312" w:cs="Times New Roman"/>
          <w:kern w:val="2"/>
          <w:sz w:val="32"/>
          <w:szCs w:val="32"/>
          <w:lang w:val="en-US" w:eastAsia="zh-CN" w:bidi="ar-SA"/>
        </w:rPr>
        <w:t>极开展绩效自评，2023年，对全区所有预算单位的项目开展绩效自评工作，部门绩效自评的责任意识有所提升，反映资金绩效存在的问题相对真实，实现全年项目支出绩效自评覆盖率100％。另一方面，组织中介机构开展绩效评价，进一步强化规范第三方独立机构参与评价模式，基本实现了全方位、全过程、全覆盖的预算绩效管理体系。按照预算绩效管理的相关要求，对全区2023年执行的11个部门整体支出和25个重点项目支出开展了绩效评价工作。</w:t>
      </w:r>
    </w:p>
    <w:p>
      <w:pPr>
        <w:spacing w:line="600" w:lineRule="exact"/>
        <w:ind w:firstLine="643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  <w:shd w:val="clear" w:color="auto" w:fill="FFFFFF"/>
          <w:lang w:val="en-US" w:eastAsia="zh-CN" w:bidi="ar-SA"/>
        </w:rPr>
        <w:t>五、持续做实评价结果应用。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完善评价结果与预算安排的有效衔接机制，将绩效评价结果作为2024年度编制预算和安排财政资金的重要参考依据，对于上一年没有完成绩效目标的要报送相关解释说明，并有针对性的核减或取消项目预算，不断推动健全完善预算绩效管理机制，并在区政府门户网站公布，以加强社会监督力度，让民众共同参与预算绩效管理。</w:t>
      </w:r>
    </w:p>
    <w:p>
      <w:pPr>
        <w:spacing w:line="600" w:lineRule="exact"/>
        <w:ind w:firstLine="672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672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672" w:firstLineChars="200"/>
        <w:jc w:val="left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672" w:firstLineChars="200"/>
        <w:jc w:val="left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重点项目绩效执行结果</w:t>
      </w:r>
    </w:p>
    <w:p>
      <w:pPr>
        <w:spacing w:line="600" w:lineRule="exact"/>
        <w:ind w:firstLine="672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项目名称：动物及动物产品检疫经费项目支出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执行率情况</w:t>
      </w:r>
      <w:bookmarkStart w:id="0" w:name="_Hlk69219203"/>
      <w:bookmarkStart w:id="1" w:name="_Hlk69139738"/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2023年度动物及动物产品检疫经费项目，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主要用于开展动物及动物产品</w:t>
      </w:r>
      <w:r>
        <w:rPr>
          <w:rFonts w:hint="eastAsia" w:ascii="仿宋" w:hAnsi="仿宋" w:eastAsia="仿宋" w:cs="仿宋"/>
          <w:sz w:val="32"/>
          <w:szCs w:val="32"/>
        </w:rPr>
        <w:t>检疫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（包括</w:t>
      </w:r>
      <w:r>
        <w:rPr>
          <w:rFonts w:hint="eastAsia" w:ascii="仿宋" w:hAnsi="仿宋" w:eastAsia="仿宋" w:cs="仿宋"/>
          <w:sz w:val="32"/>
          <w:szCs w:val="32"/>
        </w:rPr>
        <w:t>产地检疫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屠宰检疫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运输检疫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等）、畜产品抽样检测、监督稽查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动物及动物产品检疫经费项目实际到位资金40.00万元，实际支出资金40.00万元，预算执行率为100%</w:t>
      </w:r>
      <w:r>
        <w:rPr>
          <w:rFonts w:hint="eastAsia" w:ascii="仿宋" w:hAnsi="仿宋" w:eastAsia="仿宋" w:cs="仿宋"/>
          <w:sz w:val="32"/>
          <w:szCs w:val="32"/>
        </w:rPr>
        <w:t>；</w:t>
      </w:r>
      <w:bookmarkEnd w:id="0"/>
      <w:bookmarkEnd w:id="1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完成的绩效目标：稳定生猪生产保障市场供应，既要一手抓重大动物疫病防控，确保疫情不扩散蔓延，又要一手抓畜牧生产发展，确保市场总体稳定。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（注：更多重点项目绩效执行结果详见“其他情况说明”）</w:t>
      </w:r>
    </w:p>
    <w:p>
      <w:pPr>
        <w:spacing w:line="600" w:lineRule="exact"/>
        <w:ind w:firstLine="672" w:firstLineChars="200"/>
        <w:jc w:val="both"/>
        <w:rPr>
          <w:rFonts w:hint="default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</w:p>
    <w:p/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ACEBB4-6534-4372-9ECB-3429510733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DD3D908-EEE2-4D7D-BA66-60CFB3EB6F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BA7A195-389C-4DB3-98A0-4914BFBB97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F1EE526-2945-4AB4-8694-DF9BD8B1CFA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42AA5B5-892F-403B-B7D6-7DFAD74DD63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C866AFD7-6AF9-4FC9-B340-0232936312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7" w:fontKey="{1E17A1C1-B4E1-4A76-8B0B-AEFCE5EDCF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mUxYjYyNGRlNzM2ZDkxN2U4MmE2ZTM0ODIxMzcifQ=="/>
  </w:docVars>
  <w:rsids>
    <w:rsidRoot w:val="00000000"/>
    <w:rsid w:val="24BF382F"/>
    <w:rsid w:val="4BB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2023-10-12T00:54:00Z</dcterms:created>
  <dc:creator>Administrator</dc:creator>
  <cp:lastModifiedBy>。。。</cp:lastModifiedBy>
  <dcterms:modified xsi:type="dcterms:W3CDTF">2024-10-12T01:59:51Z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0C11EB32C06342EEA3F2E7639D995667_12</vt:lpwstr>
  </property>
</Properties>
</file>