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4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after="0" w:line="540" w:lineRule="exact"/>
        <w:ind w:right="6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行政处罚决定书</w:t>
      </w:r>
    </w:p>
    <w:p>
      <w:pPr>
        <w:spacing w:after="0" w:line="320" w:lineRule="exact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城管罚决字〔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〕第  号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u w:val="none"/>
          <w:lang w:eastAsia="zh-CN"/>
        </w:rPr>
        <w:t>当事人：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eastAsia="zh-CN"/>
        </w:rPr>
        <w:t>（姓名）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eastAsia="zh-CN"/>
        </w:rPr>
        <w:t>（性别）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）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岁，身份证号码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，家庭住址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，联系电话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"/>
        </w:rPr>
        <w:t>[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或单位名称：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（地址）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，（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统一社会信用代码）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（法定代表人）        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（联系电话）  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lang w:val="en-US" w:eastAsia="zh"/>
        </w:rPr>
        <w:t>]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 xml:space="preserve">经查明,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(表述应完整准确，包括何人、何时、何地、从事何种违法行为，违法行为的具体表现，所采取的手段以及造成的社会后果等作出客观表述，不得增加任何主观的评论性语言)           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上述事实，由以下证据证实：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证据一：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，证明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；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证据二：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，证明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；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……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日，本机关依法向你（单位）送达了《随州市城市管理行政执法行政处罚事先（听证）告知书》（随城管罚告字〔     〕第   号），告知你（单位）拟作出行政处罚决定的事实、理由、依据及内容，并告知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none"/>
          <w:lang w:val="en-US" w:eastAsia="zh-CN"/>
        </w:rPr>
        <w:t>你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依法享有的权利。你（单位）在规定的时间内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（提出或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未提出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陈述、申辩（以及听证）要求。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[你（单位）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日向本机关提出陈述、申辩（听证要求）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  <w:lang w:val="en-US" w:eastAsia="zh-CN"/>
        </w:rPr>
        <w:t xml:space="preserve">  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你（单位）辩称，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本机关认为，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（采纳或不采纳当事人陈述、申辩的理由）                           ，故你（单位）的上述             意见，本机关予以（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>不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予）采纳。]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本机关认为，你（单位）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的行为，违反了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 的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规定，应当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。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 xml:space="preserve">鉴于当事人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（自由裁量的情节与理由、危害程度、主观过错）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根据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的规定，决定如下：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一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、 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 xml:space="preserve">、                                            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上述罚款，你应当自收到本处罚决定书之日起十五日内，持本决定书到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指定银行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缴纳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收款单位：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>随州市曾都区财政局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开户行：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  <w:lang w:val="en-US" w:eastAsia="zh-CN"/>
        </w:rPr>
        <w:t>中国工商银行随州花溪桥支行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；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账号：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1805020629250001217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逾期不缴纳罚款的，本机关将根据《中华人民共和国行政处罚法》第七十二条第一项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之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规定，每日按罚款数额的3%加处罚款。</w:t>
      </w:r>
      <w:bookmarkStart w:id="0" w:name="_GoBack"/>
      <w:bookmarkEnd w:id="0"/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如不服本处罚决定，可以在收到本决定书之日起六十日内向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  <w:lang w:eastAsia="zh-CN"/>
        </w:rPr>
        <w:t>随州市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u w:val="none"/>
        </w:rPr>
        <w:t>人民政府申请行政复议，也可以在收到本决定书之日起六个月内直接向人民法院起诉，但本决定不停止执行，法律另有规定的除外。逾期不申请行政复议、不提起行政诉讼又不履行的，本机关将依法申请人民法院强制执行或者依照有关规定强制执行。</w:t>
      </w: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</w:pP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rPr>
          <w:rFonts w:hint="default" w:ascii="Times New Roman" w:hAnsi="Times New Roman" w:eastAsia="仿宋_GB2312" w:cs="Times New Roman"/>
          <w:color w:val="000000"/>
          <w:sz w:val="28"/>
          <w:szCs w:val="28"/>
          <w:u w:val="single"/>
        </w:rPr>
      </w:pPr>
    </w:p>
    <w:p>
      <w:pPr>
        <w:widowControl w:val="0"/>
        <w:overflowPunct w:val="0"/>
        <w:adjustRightInd w:val="0"/>
        <w:snapToGrid w:val="0"/>
        <w:spacing w:line="520" w:lineRule="exact"/>
        <w:ind w:right="28" w:firstLine="534" w:firstLineChars="191"/>
        <w:jc w:val="righ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pacing w:after="0" w:line="308" w:lineRule="exact"/>
        <w:ind w:firstLine="4760" w:firstLineChars="17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                                           年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月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日</w:t>
      </w:r>
    </w:p>
    <w:p>
      <w:pPr>
        <w:rPr>
          <w:sz w:val="28"/>
          <w:szCs w:val="28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4192F5B"/>
    <w:rsid w:val="07911A78"/>
    <w:rsid w:val="2D021744"/>
    <w:rsid w:val="4419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程程</cp:lastModifiedBy>
  <dcterms:modified xsi:type="dcterms:W3CDTF">2024-01-18T01:35:44Z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8A33380BA9804DD68301A7D25E267713_13</vt:lpwstr>
  </property>
</Properties>
</file>